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0CDC" w:rsidRDefault="00071FC2">
      <w:pPr>
        <w:spacing w:afterLines="50" w:after="156" w:line="360" w:lineRule="auto"/>
        <w:jc w:val="center"/>
        <w:rPr>
          <w:rFonts w:ascii="Times New Roman" w:eastAsia="宋体" w:hAnsi="Times New Roman" w:cs="Times New Roman"/>
          <w:sz w:val="28"/>
          <w:szCs w:val="28"/>
        </w:rPr>
      </w:pPr>
      <w:r>
        <w:rPr>
          <w:rFonts w:ascii="Times New Roman" w:eastAsia="宋体" w:hAnsi="Times New Roman" w:cs="Times New Roman"/>
          <w:sz w:val="28"/>
          <w:szCs w:val="28"/>
        </w:rPr>
        <w:t>证券代码：</w:t>
      </w:r>
      <w:r>
        <w:rPr>
          <w:rFonts w:ascii="Times New Roman" w:eastAsia="宋体" w:hAnsi="Times New Roman" w:cs="Times New Roman"/>
          <w:sz w:val="28"/>
          <w:szCs w:val="28"/>
        </w:rPr>
        <w:t xml:space="preserve">002378                </w:t>
      </w:r>
      <w:r>
        <w:rPr>
          <w:rFonts w:ascii="Times New Roman" w:eastAsia="宋体" w:hAnsi="Times New Roman" w:cs="Times New Roman"/>
          <w:sz w:val="28"/>
          <w:szCs w:val="28"/>
        </w:rPr>
        <w:t>证券简称：章源钨业</w:t>
      </w:r>
      <w:r>
        <w:rPr>
          <w:rFonts w:ascii="Times New Roman" w:eastAsia="宋体" w:hAnsi="Times New Roman" w:cs="Times New Roman"/>
          <w:sz w:val="28"/>
          <w:szCs w:val="28"/>
        </w:rPr>
        <w:t xml:space="preserve">               </w:t>
      </w:r>
      <w:r>
        <w:rPr>
          <w:rFonts w:ascii="Times New Roman" w:eastAsia="宋体" w:hAnsi="Times New Roman" w:cs="Times New Roman"/>
          <w:sz w:val="28"/>
          <w:szCs w:val="28"/>
        </w:rPr>
        <w:t>公告编号：</w:t>
      </w:r>
      <w:r>
        <w:rPr>
          <w:rFonts w:ascii="Times New Roman" w:eastAsia="宋体" w:hAnsi="Times New Roman" w:cs="Times New Roman"/>
          <w:sz w:val="28"/>
          <w:szCs w:val="28"/>
        </w:rPr>
        <w:t>2025-028</w:t>
      </w:r>
    </w:p>
    <w:p w:rsidR="00380CDC" w:rsidRDefault="00071FC2">
      <w:pPr>
        <w:spacing w:beforeLines="100" w:before="312" w:line="360" w:lineRule="auto"/>
        <w:jc w:val="center"/>
        <w:rPr>
          <w:rFonts w:ascii="Times New Roman" w:eastAsia="宋体" w:hAnsi="Times New Roman" w:cs="Times New Roman"/>
          <w:b/>
          <w:bCs/>
          <w:sz w:val="28"/>
          <w:szCs w:val="28"/>
        </w:rPr>
      </w:pPr>
      <w:r>
        <w:rPr>
          <w:rFonts w:ascii="Times New Roman" w:eastAsia="宋体" w:hAnsi="Times New Roman" w:cs="Times New Roman"/>
          <w:b/>
          <w:bCs/>
          <w:sz w:val="28"/>
          <w:szCs w:val="28"/>
        </w:rPr>
        <w:t>崇义章源钨业股份有限公司</w:t>
      </w:r>
    </w:p>
    <w:p w:rsidR="00380CDC" w:rsidRDefault="00071FC2">
      <w:pPr>
        <w:spacing w:afterLines="100" w:after="312" w:line="360" w:lineRule="auto"/>
        <w:jc w:val="center"/>
        <w:rPr>
          <w:rFonts w:ascii="Times New Roman" w:eastAsia="宋体" w:hAnsi="Times New Roman" w:cs="Times New Roman"/>
          <w:b/>
          <w:bCs/>
          <w:sz w:val="28"/>
          <w:szCs w:val="28"/>
        </w:rPr>
      </w:pPr>
      <w:r>
        <w:rPr>
          <w:rFonts w:ascii="Times New Roman" w:eastAsia="宋体" w:hAnsi="Times New Roman" w:cs="Times New Roman"/>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470535</wp:posOffset>
                </wp:positionV>
                <wp:extent cx="6096000" cy="752475"/>
                <wp:effectExtent l="5715" t="13335" r="13335"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752475"/>
                        </a:xfrm>
                        <a:prstGeom prst="rect">
                          <a:avLst/>
                        </a:prstGeom>
                        <a:solidFill>
                          <a:schemeClr val="lt1">
                            <a:lumMod val="100000"/>
                            <a:lumOff val="0"/>
                          </a:schemeClr>
                        </a:solidFill>
                        <a:ln w="6350">
                          <a:solidFill>
                            <a:srgbClr val="000000"/>
                          </a:solidFill>
                          <a:round/>
                        </a:ln>
                      </wps:spPr>
                      <wps:txbx>
                        <w:txbxContent>
                          <w:p w:rsidR="00071FC2" w:rsidRDefault="00071FC2">
                            <w:pPr>
                              <w:spacing w:before="100" w:after="100" w:line="360" w:lineRule="auto"/>
                              <w:ind w:firstLineChars="200" w:firstLine="480"/>
                              <w:jc w:val="both"/>
                              <w:rPr>
                                <w:rFonts w:ascii="宋体" w:eastAsia="宋体" w:hAnsi="宋体"/>
                                <w:sz w:val="24"/>
                                <w:szCs w:val="24"/>
                              </w:rPr>
                            </w:pPr>
                            <w:r>
                              <w:rPr>
                                <w:rFonts w:ascii="宋体" w:eastAsia="宋体" w:hAnsi="宋体" w:hint="eastAsia"/>
                                <w:sz w:val="24"/>
                                <w:szCs w:val="24"/>
                              </w:rPr>
                              <w:t>本公司及董事会全体成员保证信息披露的内容真实、准确、完整，没有虚假记载、误导性陈述或重大遗漏。</w:t>
                            </w:r>
                          </w:p>
                          <w:p w:rsidR="00071FC2" w:rsidRDefault="00071FC2"/>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37.05pt;width:480pt;height:5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" fillcolor="white [3201]" strokeweight=".5pt">
                <v:stroke joinstyle="round"/>
                <v:textbox>
                  <w:txbxContent>
                    <w:p w:rsidR="00071FC2" w:rsidRDefault="00071FC2">
                      <w:pPr>
                        <w:spacing w:before="100" w:after="100" w:line="360" w:lineRule="auto"/>
                        <w:ind w:firstLineChars="200" w:firstLine="480"/>
                        <w:jc w:val="both"/>
                        <w:rPr>
                          <w:rFonts w:ascii="宋体" w:eastAsia="宋体" w:hAnsi="宋体"/>
                          <w:sz w:val="24"/>
                          <w:szCs w:val="24"/>
                        </w:rPr>
                      </w:pPr>
                      <w:r>
                        <w:rPr>
                          <w:rFonts w:ascii="宋体" w:eastAsia="宋体" w:hAnsi="宋体" w:hint="eastAsia"/>
                          <w:sz w:val="24"/>
                          <w:szCs w:val="24"/>
                        </w:rPr>
                        <w:t>本公司及董事会全体成员保证信息披露的内容真实、准确、完整，没有虚假记载、误导性陈述或重大遗漏。</w:t>
                      </w:r>
                    </w:p>
                    <w:p w:rsidR="00071FC2" w:rsidRDefault="00071FC2"/>
                  </w:txbxContent>
                </v:textbox>
              </v:shape>
            </w:pict>
          </mc:Fallback>
        </mc:AlternateContent>
      </w:r>
      <w:r>
        <w:rPr>
          <w:rFonts w:ascii="Times New Roman" w:eastAsia="宋体" w:hAnsi="Times New Roman" w:cs="Times New Roman"/>
          <w:b/>
          <w:bCs/>
          <w:sz w:val="28"/>
          <w:szCs w:val="28"/>
        </w:rPr>
        <w:t>2025</w:t>
      </w:r>
      <w:r>
        <w:rPr>
          <w:rFonts w:ascii="Times New Roman" w:eastAsia="宋体" w:hAnsi="Times New Roman" w:cs="Times New Roman"/>
          <w:b/>
          <w:bCs/>
          <w:sz w:val="28"/>
          <w:szCs w:val="28"/>
        </w:rPr>
        <w:t>年第一季度报告</w:t>
      </w:r>
    </w:p>
    <w:p w:rsidR="00380CDC" w:rsidRDefault="00380CDC">
      <w:pPr>
        <w:spacing w:before="40" w:after="40" w:line="420" w:lineRule="exact"/>
        <w:rPr>
          <w:rFonts w:ascii="Times New Roman" w:eastAsia="宋体" w:hAnsi="Times New Roman" w:cs="Times New Roman"/>
          <w:b/>
          <w:bCs/>
          <w:sz w:val="24"/>
          <w:szCs w:val="24"/>
        </w:rPr>
      </w:pPr>
    </w:p>
    <w:p w:rsidR="00380CDC" w:rsidRDefault="00380CDC">
      <w:pPr>
        <w:spacing w:before="40" w:after="40" w:line="420" w:lineRule="exact"/>
        <w:rPr>
          <w:rFonts w:ascii="Times New Roman" w:eastAsia="宋体" w:hAnsi="Times New Roman" w:cs="Times New Roman"/>
          <w:b/>
          <w:bCs/>
          <w:sz w:val="24"/>
          <w:szCs w:val="24"/>
        </w:rPr>
      </w:pPr>
    </w:p>
    <w:p w:rsidR="00380CDC" w:rsidRDefault="00380CDC">
      <w:pPr>
        <w:spacing w:before="40" w:after="40" w:line="420" w:lineRule="exact"/>
        <w:rPr>
          <w:rFonts w:ascii="Times New Roman" w:eastAsia="宋体" w:hAnsi="Times New Roman" w:cs="Times New Roman"/>
          <w:b/>
          <w:bCs/>
          <w:sz w:val="24"/>
          <w:szCs w:val="24"/>
        </w:rPr>
      </w:pPr>
    </w:p>
    <w:p w:rsidR="00380CDC" w:rsidRDefault="00071FC2">
      <w:pPr>
        <w:spacing w:before="40" w:after="40" w:line="420" w:lineRule="exact"/>
        <w:rPr>
          <w:rFonts w:ascii="Times New Roman" w:eastAsia="宋体" w:hAnsi="Times New Roman" w:cs="Times New Roman"/>
          <w:b/>
          <w:bCs/>
          <w:sz w:val="24"/>
          <w:szCs w:val="24"/>
        </w:rPr>
      </w:pPr>
      <w:r>
        <w:rPr>
          <w:rFonts w:ascii="Times New Roman" w:eastAsia="宋体" w:hAnsi="Times New Roman" w:cs="Times New Roman"/>
          <w:b/>
          <w:bCs/>
          <w:sz w:val="24"/>
          <w:szCs w:val="24"/>
        </w:rPr>
        <w:t>重要内容提示：</w:t>
      </w:r>
    </w:p>
    <w:p w:rsidR="00380CDC" w:rsidRDefault="00071FC2">
      <w:pPr>
        <w:spacing w:beforeLines="50" w:before="156" w:afterLines="50" w:after="156" w:line="360" w:lineRule="auto"/>
        <w:jc w:val="both"/>
        <w:rPr>
          <w:rFonts w:ascii="Times New Roman" w:eastAsia="宋体" w:hAnsi="Times New Roman" w:cs="Times New Roman"/>
          <w:sz w:val="24"/>
          <w:szCs w:val="24"/>
        </w:rPr>
      </w:pPr>
      <w:r>
        <w:rPr>
          <w:rFonts w:ascii="Times New Roman" w:eastAsia="宋体" w:hAnsi="Times New Roman" w:cs="Times New Roman"/>
          <w:sz w:val="24"/>
          <w:szCs w:val="24"/>
        </w:rPr>
        <w:t xml:space="preserve">1. </w:t>
      </w:r>
      <w:r>
        <w:rPr>
          <w:rFonts w:ascii="Times New Roman" w:eastAsia="宋体" w:hAnsi="Times New Roman" w:cs="Times New Roman"/>
          <w:sz w:val="24"/>
          <w:szCs w:val="24"/>
        </w:rPr>
        <w:t>董事会、监事会及董事、监事、高级管理人员保证季度报告的真实、准确、完整，不存在虚假记载、误导性陈述或重大遗漏，并承担个别和连带的法律责任。</w:t>
      </w:r>
    </w:p>
    <w:p w:rsidR="00380CDC" w:rsidRDefault="00071FC2">
      <w:pPr>
        <w:spacing w:beforeLines="50" w:before="156" w:afterLines="50" w:after="156" w:line="360" w:lineRule="auto"/>
        <w:jc w:val="both"/>
        <w:rPr>
          <w:rFonts w:ascii="Times New Roman" w:eastAsia="宋体" w:hAnsi="Times New Roman" w:cs="Times New Roman"/>
          <w:sz w:val="24"/>
          <w:szCs w:val="24"/>
        </w:rPr>
      </w:pPr>
      <w:r>
        <w:rPr>
          <w:rFonts w:ascii="Times New Roman" w:eastAsia="宋体" w:hAnsi="Times New Roman" w:cs="Times New Roman"/>
          <w:sz w:val="24"/>
          <w:szCs w:val="24"/>
        </w:rPr>
        <w:t xml:space="preserve">2. </w:t>
      </w:r>
      <w:r>
        <w:rPr>
          <w:rFonts w:ascii="Times New Roman" w:eastAsia="宋体" w:hAnsi="Times New Roman" w:cs="Times New Roman"/>
          <w:sz w:val="24"/>
          <w:szCs w:val="24"/>
        </w:rPr>
        <w:t>公司负责人黄世春、主管会计工作负责人范迪曜及会计机构负责人（会计主管人员）赵本林声明：保证季度报告中财务信息的真实、准确、完整。</w:t>
      </w:r>
    </w:p>
    <w:p w:rsidR="00380CDC" w:rsidRDefault="00071FC2">
      <w:pPr>
        <w:spacing w:beforeLines="50" w:before="156" w:afterLines="50" w:after="156" w:line="360" w:lineRule="auto"/>
        <w:jc w:val="both"/>
        <w:rPr>
          <w:rFonts w:ascii="Times New Roman" w:eastAsia="宋体" w:hAnsi="Times New Roman" w:cs="Times New Roman"/>
          <w:sz w:val="24"/>
          <w:szCs w:val="24"/>
        </w:rPr>
      </w:pPr>
      <w:r>
        <w:rPr>
          <w:rFonts w:ascii="Times New Roman" w:eastAsia="宋体" w:hAnsi="Times New Roman" w:cs="Times New Roman"/>
          <w:sz w:val="24"/>
          <w:szCs w:val="24"/>
        </w:rPr>
        <w:t xml:space="preserve">3. </w:t>
      </w:r>
      <w:r>
        <w:rPr>
          <w:rFonts w:ascii="Times New Roman" w:eastAsia="宋体" w:hAnsi="Times New Roman" w:cs="Times New Roman"/>
          <w:sz w:val="24"/>
          <w:szCs w:val="24"/>
        </w:rPr>
        <w:t>第一季度报告是否经审计</w:t>
      </w:r>
    </w:p>
    <w:p w:rsidR="00380CDC" w:rsidRDefault="00071FC2">
      <w:pPr>
        <w:spacing w:beforeLines="50" w:before="156" w:afterLines="50" w:after="156" w:line="360" w:lineRule="auto"/>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是</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sym w:font="Wingdings 2" w:char="F052"/>
      </w:r>
      <w:r>
        <w:rPr>
          <w:rFonts w:ascii="Times New Roman" w:eastAsia="宋体" w:hAnsi="Times New Roman" w:cs="Times New Roman"/>
          <w:sz w:val="24"/>
          <w:szCs w:val="24"/>
        </w:rPr>
        <w:t>否</w:t>
      </w:r>
    </w:p>
    <w:p w:rsidR="00380CDC" w:rsidRDefault="00071FC2">
      <w:pPr>
        <w:pStyle w:val="headingh1"/>
        <w:spacing w:beforeLines="50" w:before="156" w:afterLines="50" w:after="156" w:line="360" w:lineRule="auto"/>
        <w:rPr>
          <w:rFonts w:ascii="Times New Roman" w:eastAsia="宋体" w:hAnsi="Times New Roman" w:cs="Times New Roman"/>
          <w:b/>
          <w:bCs/>
          <w:sz w:val="24"/>
          <w:szCs w:val="24"/>
        </w:rPr>
      </w:pPr>
      <w:bookmarkStart w:id="0" w:name="_Toc988889"/>
      <w:r>
        <w:rPr>
          <w:rFonts w:ascii="Times New Roman" w:eastAsia="宋体" w:hAnsi="Times New Roman" w:cs="Times New Roman"/>
          <w:b/>
          <w:bCs/>
          <w:sz w:val="24"/>
          <w:szCs w:val="24"/>
        </w:rPr>
        <w:t>一、主要财务数据</w:t>
      </w:r>
      <w:bookmarkEnd w:id="0"/>
    </w:p>
    <w:p w:rsidR="00380CDC" w:rsidRDefault="00071FC2">
      <w:pPr>
        <w:pStyle w:val="headingh1"/>
        <w:spacing w:beforeLines="50" w:before="156" w:afterLines="50" w:after="156" w:line="360" w:lineRule="auto"/>
        <w:rPr>
          <w:rFonts w:ascii="Times New Roman" w:eastAsia="宋体" w:hAnsi="Times New Roman" w:cs="Times New Roman"/>
          <w:b/>
          <w:bCs/>
          <w:sz w:val="24"/>
          <w:szCs w:val="24"/>
        </w:rPr>
      </w:pPr>
      <w:bookmarkStart w:id="1" w:name="_Toc988890"/>
      <w:r>
        <w:rPr>
          <w:rFonts w:ascii="Times New Roman" w:eastAsia="宋体" w:hAnsi="Times New Roman" w:cs="Times New Roman"/>
          <w:b/>
          <w:bCs/>
          <w:sz w:val="24"/>
          <w:szCs w:val="24"/>
        </w:rPr>
        <w:t>（一）</w:t>
      </w:r>
      <w:r>
        <w:rPr>
          <w:rFonts w:ascii="Times New Roman" w:eastAsia="宋体" w:hAnsi="Times New Roman" w:cs="Times New Roman"/>
          <w:b/>
          <w:bCs/>
          <w:sz w:val="24"/>
          <w:szCs w:val="24"/>
        </w:rPr>
        <w:t xml:space="preserve"> </w:t>
      </w:r>
      <w:r>
        <w:rPr>
          <w:rFonts w:ascii="Times New Roman" w:eastAsia="宋体" w:hAnsi="Times New Roman" w:cs="Times New Roman"/>
          <w:b/>
          <w:bCs/>
          <w:sz w:val="24"/>
          <w:szCs w:val="24"/>
        </w:rPr>
        <w:t>主要会计数据和财务指标</w:t>
      </w:r>
      <w:bookmarkEnd w:id="1"/>
    </w:p>
    <w:p w:rsidR="00380CDC" w:rsidRDefault="00071FC2">
      <w:pPr>
        <w:spacing w:beforeLines="50" w:before="156" w:afterLines="50" w:after="156" w:line="360" w:lineRule="auto"/>
        <w:rPr>
          <w:rFonts w:ascii="Times New Roman" w:eastAsia="宋体" w:hAnsi="Times New Roman" w:cs="Times New Roman"/>
          <w:b/>
          <w:sz w:val="24"/>
          <w:szCs w:val="24"/>
        </w:rPr>
      </w:pPr>
      <w:r>
        <w:rPr>
          <w:rFonts w:ascii="Times New Roman" w:eastAsia="宋体" w:hAnsi="Times New Roman" w:cs="Times New Roman"/>
          <w:b/>
          <w:sz w:val="24"/>
          <w:szCs w:val="24"/>
        </w:rPr>
        <w:t>公司是否需追溯调整或重述以前年度会计数据</w:t>
      </w:r>
    </w:p>
    <w:p w:rsidR="00380CDC" w:rsidRDefault="00071FC2">
      <w:pPr>
        <w:spacing w:beforeLines="50" w:before="156" w:afterLines="50" w:after="156" w:line="360" w:lineRule="auto"/>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是</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sym w:font="Wingdings 2" w:char="F052"/>
      </w:r>
      <w:r>
        <w:rPr>
          <w:rFonts w:ascii="Times New Roman" w:eastAsia="宋体" w:hAnsi="Times New Roman" w:cs="Times New Roman"/>
          <w:sz w:val="24"/>
          <w:szCs w:val="24"/>
        </w:rPr>
        <w:t>否</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545"/>
        <w:gridCol w:w="2126"/>
        <w:gridCol w:w="1985"/>
        <w:gridCol w:w="1983"/>
      </w:tblGrid>
      <w:tr w:rsidR="00380CDC">
        <w:trPr>
          <w:trHeight w:val="567"/>
          <w:jc w:val="center"/>
        </w:trPr>
        <w:tc>
          <w:tcPr>
            <w:tcW w:w="354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jc w:val="center"/>
              <w:rPr>
                <w:rFonts w:ascii="Times New Roman" w:eastAsia="宋体" w:hAnsi="Times New Roman" w:cs="Times New Roman"/>
                <w:szCs w:val="21"/>
              </w:rPr>
            </w:pPr>
            <w:r>
              <w:rPr>
                <w:rFonts w:ascii="Times New Roman" w:eastAsia="宋体" w:hAnsi="Times New Roman" w:cs="Times New Roman"/>
                <w:szCs w:val="21"/>
              </w:rPr>
              <w:t>项目</w:t>
            </w:r>
          </w:p>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本报告期</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上年同期</w:t>
            </w:r>
          </w:p>
        </w:tc>
        <w:tc>
          <w:tcPr>
            <w:tcW w:w="1983"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本报告期比上年同期增减（</w:t>
            </w:r>
            <w:r>
              <w:rPr>
                <w:rFonts w:ascii="Times New Roman" w:eastAsia="宋体" w:hAnsi="Times New Roman" w:cs="Times New Roman"/>
                <w:szCs w:val="21"/>
              </w:rPr>
              <w:t>%</w:t>
            </w:r>
            <w:r>
              <w:rPr>
                <w:rFonts w:ascii="Times New Roman" w:eastAsia="宋体" w:hAnsi="Times New Roman" w:cs="Times New Roman"/>
                <w:szCs w:val="21"/>
              </w:rPr>
              <w:t>）</w:t>
            </w:r>
          </w:p>
        </w:tc>
      </w:tr>
      <w:tr w:rsidR="00380CDC">
        <w:trPr>
          <w:trHeight w:val="567"/>
          <w:jc w:val="center"/>
        </w:trPr>
        <w:tc>
          <w:tcPr>
            <w:tcW w:w="354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jc w:val="both"/>
              <w:rPr>
                <w:rFonts w:ascii="Times New Roman" w:eastAsia="宋体" w:hAnsi="Times New Roman" w:cs="Times New Roman"/>
                <w:szCs w:val="21"/>
              </w:rPr>
            </w:pPr>
            <w:r>
              <w:rPr>
                <w:rFonts w:ascii="Times New Roman" w:eastAsia="宋体" w:hAnsi="Times New Roman" w:cs="Times New Roman"/>
                <w:szCs w:val="21"/>
              </w:rPr>
              <w:t>营业收入（元）</w:t>
            </w:r>
          </w:p>
        </w:tc>
        <w:tc>
          <w:tcPr>
            <w:tcW w:w="2126"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1,186,253,423.19</w:t>
            </w:r>
          </w:p>
        </w:tc>
        <w:tc>
          <w:tcPr>
            <w:tcW w:w="1985"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873,946,805.15</w:t>
            </w:r>
          </w:p>
        </w:tc>
        <w:tc>
          <w:tcPr>
            <w:tcW w:w="1983"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35.74%</w:t>
            </w:r>
          </w:p>
        </w:tc>
      </w:tr>
      <w:tr w:rsidR="00380CDC">
        <w:trPr>
          <w:trHeight w:val="669"/>
          <w:jc w:val="center"/>
        </w:trPr>
        <w:tc>
          <w:tcPr>
            <w:tcW w:w="354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jc w:val="both"/>
              <w:rPr>
                <w:rFonts w:ascii="Times New Roman" w:eastAsia="宋体" w:hAnsi="Times New Roman" w:cs="Times New Roman"/>
                <w:szCs w:val="21"/>
              </w:rPr>
            </w:pPr>
            <w:r>
              <w:rPr>
                <w:rFonts w:ascii="Times New Roman" w:eastAsia="宋体" w:hAnsi="Times New Roman" w:cs="Times New Roman"/>
                <w:szCs w:val="21"/>
              </w:rPr>
              <w:t>归属于上市公司股东的净利润（元）</w:t>
            </w:r>
          </w:p>
        </w:tc>
        <w:tc>
          <w:tcPr>
            <w:tcW w:w="2126" w:type="dxa"/>
            <w:tcBorders>
              <w:top w:val="single" w:sz="2" w:space="0" w:color="auto"/>
              <w:left w:val="single" w:sz="2" w:space="0" w:color="auto"/>
              <w:bottom w:val="single" w:sz="2" w:space="0" w:color="auto"/>
              <w:right w:val="single" w:sz="2" w:space="0" w:color="auto"/>
            </w:tcBorders>
            <w:vAlign w:val="center"/>
          </w:tcPr>
          <w:p w:rsidR="00380CDC" w:rsidRDefault="00071FC2">
            <w:pPr>
              <w:widowControl/>
              <w:jc w:val="right"/>
              <w:textAlignment w:val="center"/>
              <w:rPr>
                <w:rFonts w:ascii="Times New Roman" w:eastAsia="宋体" w:hAnsi="Times New Roman" w:cs="Times New Roman"/>
                <w:szCs w:val="21"/>
              </w:rPr>
            </w:pPr>
            <w:r w:rsidRPr="00E47BB4">
              <w:rPr>
                <w:rFonts w:ascii="Times New Roman" w:eastAsia="宋体" w:hAnsi="Times New Roman" w:cs="Times New Roman"/>
                <w:szCs w:val="21"/>
              </w:rPr>
              <w:t>42,567,795.73</w:t>
            </w:r>
          </w:p>
        </w:tc>
        <w:tc>
          <w:tcPr>
            <w:tcW w:w="1985"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27,206,530.54</w:t>
            </w:r>
          </w:p>
        </w:tc>
        <w:tc>
          <w:tcPr>
            <w:tcW w:w="1983" w:type="dxa"/>
            <w:tcBorders>
              <w:top w:val="single" w:sz="2" w:space="0" w:color="auto"/>
              <w:left w:val="single" w:sz="2" w:space="0" w:color="auto"/>
              <w:bottom w:val="single" w:sz="2" w:space="0" w:color="auto"/>
              <w:right w:val="single" w:sz="2" w:space="0" w:color="auto"/>
            </w:tcBorders>
            <w:vAlign w:val="center"/>
          </w:tcPr>
          <w:p w:rsidR="00380CDC" w:rsidRDefault="00071FC2">
            <w:pPr>
              <w:widowControl/>
              <w:jc w:val="right"/>
              <w:textAlignment w:val="center"/>
              <w:rPr>
                <w:rFonts w:ascii="Times New Roman" w:eastAsia="宋体" w:hAnsi="Times New Roman" w:cs="Times New Roman"/>
                <w:szCs w:val="21"/>
              </w:rPr>
            </w:pPr>
            <w:r w:rsidRPr="00E47BB4">
              <w:rPr>
                <w:rFonts w:ascii="Times New Roman" w:eastAsia="宋体" w:hAnsi="Times New Roman" w:cs="Times New Roman"/>
                <w:szCs w:val="21"/>
              </w:rPr>
              <w:t>56.46%</w:t>
            </w:r>
          </w:p>
        </w:tc>
      </w:tr>
      <w:tr w:rsidR="00380CDC">
        <w:trPr>
          <w:trHeight w:val="663"/>
          <w:jc w:val="center"/>
        </w:trPr>
        <w:tc>
          <w:tcPr>
            <w:tcW w:w="354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jc w:val="both"/>
              <w:rPr>
                <w:rFonts w:ascii="Times New Roman" w:eastAsia="宋体" w:hAnsi="Times New Roman" w:cs="Times New Roman"/>
                <w:szCs w:val="21"/>
              </w:rPr>
            </w:pPr>
            <w:r>
              <w:rPr>
                <w:rFonts w:ascii="Times New Roman" w:eastAsia="宋体" w:hAnsi="Times New Roman" w:cs="Times New Roman"/>
                <w:szCs w:val="21"/>
              </w:rPr>
              <w:t>归属于上市公司股东的扣除非经常性损益的净利润（元）</w:t>
            </w:r>
          </w:p>
        </w:tc>
        <w:tc>
          <w:tcPr>
            <w:tcW w:w="2126" w:type="dxa"/>
            <w:tcBorders>
              <w:top w:val="single" w:sz="2" w:space="0" w:color="auto"/>
              <w:left w:val="single" w:sz="2" w:space="0" w:color="auto"/>
              <w:bottom w:val="single" w:sz="2" w:space="0" w:color="auto"/>
              <w:right w:val="single" w:sz="2" w:space="0" w:color="auto"/>
            </w:tcBorders>
            <w:vAlign w:val="center"/>
          </w:tcPr>
          <w:p w:rsidR="00380CDC" w:rsidRDefault="00071FC2">
            <w:pPr>
              <w:widowControl/>
              <w:jc w:val="right"/>
              <w:textAlignment w:val="center"/>
              <w:rPr>
                <w:rFonts w:ascii="Times New Roman" w:eastAsia="宋体" w:hAnsi="Times New Roman" w:cs="Times New Roman"/>
                <w:szCs w:val="21"/>
              </w:rPr>
            </w:pPr>
            <w:r w:rsidRPr="00E47BB4">
              <w:rPr>
                <w:rFonts w:ascii="Times New Roman" w:eastAsia="宋体" w:hAnsi="Times New Roman" w:cs="Times New Roman"/>
                <w:szCs w:val="21"/>
              </w:rPr>
              <w:t xml:space="preserve"> 40,923,722.81 </w:t>
            </w:r>
          </w:p>
        </w:tc>
        <w:tc>
          <w:tcPr>
            <w:tcW w:w="1985"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24,124,511.84</w:t>
            </w:r>
          </w:p>
        </w:tc>
        <w:tc>
          <w:tcPr>
            <w:tcW w:w="1983" w:type="dxa"/>
            <w:tcBorders>
              <w:top w:val="single" w:sz="2" w:space="0" w:color="auto"/>
              <w:left w:val="single" w:sz="2" w:space="0" w:color="auto"/>
              <w:bottom w:val="single" w:sz="2" w:space="0" w:color="auto"/>
              <w:right w:val="single" w:sz="2" w:space="0" w:color="auto"/>
            </w:tcBorders>
            <w:vAlign w:val="center"/>
          </w:tcPr>
          <w:p w:rsidR="00380CDC" w:rsidRDefault="00071FC2">
            <w:pPr>
              <w:widowControl/>
              <w:jc w:val="right"/>
              <w:textAlignment w:val="center"/>
              <w:rPr>
                <w:rFonts w:ascii="Times New Roman" w:eastAsia="宋体" w:hAnsi="Times New Roman" w:cs="Times New Roman"/>
                <w:szCs w:val="21"/>
              </w:rPr>
            </w:pPr>
            <w:r w:rsidRPr="00E47BB4">
              <w:rPr>
                <w:rFonts w:ascii="Times New Roman" w:eastAsia="宋体" w:hAnsi="Times New Roman" w:cs="Times New Roman"/>
                <w:szCs w:val="21"/>
              </w:rPr>
              <w:t>69.64%</w:t>
            </w:r>
          </w:p>
        </w:tc>
      </w:tr>
      <w:tr w:rsidR="00380CDC">
        <w:trPr>
          <w:trHeight w:val="701"/>
          <w:jc w:val="center"/>
        </w:trPr>
        <w:tc>
          <w:tcPr>
            <w:tcW w:w="354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jc w:val="both"/>
              <w:rPr>
                <w:rFonts w:ascii="Times New Roman" w:eastAsia="宋体" w:hAnsi="Times New Roman" w:cs="Times New Roman"/>
                <w:szCs w:val="21"/>
              </w:rPr>
            </w:pPr>
            <w:r>
              <w:rPr>
                <w:rFonts w:ascii="Times New Roman" w:eastAsia="宋体" w:hAnsi="Times New Roman" w:cs="Times New Roman"/>
                <w:szCs w:val="21"/>
              </w:rPr>
              <w:t>经营活动产生的现金流量净额（元）</w:t>
            </w:r>
          </w:p>
        </w:tc>
        <w:tc>
          <w:tcPr>
            <w:tcW w:w="2126"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-5,742,471.85</w:t>
            </w:r>
          </w:p>
        </w:tc>
        <w:tc>
          <w:tcPr>
            <w:tcW w:w="1985"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-175,851,809.83</w:t>
            </w:r>
          </w:p>
        </w:tc>
        <w:tc>
          <w:tcPr>
            <w:tcW w:w="1983"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96.73%</w:t>
            </w:r>
          </w:p>
        </w:tc>
      </w:tr>
      <w:tr w:rsidR="00380CDC">
        <w:trPr>
          <w:trHeight w:val="567"/>
          <w:jc w:val="center"/>
        </w:trPr>
        <w:tc>
          <w:tcPr>
            <w:tcW w:w="354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jc w:val="both"/>
              <w:rPr>
                <w:rFonts w:ascii="Times New Roman" w:eastAsia="宋体" w:hAnsi="Times New Roman" w:cs="Times New Roman"/>
                <w:szCs w:val="21"/>
              </w:rPr>
            </w:pPr>
            <w:r>
              <w:rPr>
                <w:rFonts w:ascii="Times New Roman" w:eastAsia="宋体" w:hAnsi="Times New Roman" w:cs="Times New Roman"/>
                <w:szCs w:val="21"/>
              </w:rPr>
              <w:lastRenderedPageBreak/>
              <w:t>基本每股收益（元</w:t>
            </w:r>
            <w:r>
              <w:rPr>
                <w:rFonts w:ascii="Times New Roman" w:eastAsia="宋体" w:hAnsi="Times New Roman" w:cs="Times New Roman"/>
                <w:szCs w:val="21"/>
              </w:rPr>
              <w:t>/</w:t>
            </w:r>
            <w:r>
              <w:rPr>
                <w:rFonts w:ascii="Times New Roman" w:eastAsia="宋体" w:hAnsi="Times New Roman" w:cs="Times New Roman"/>
                <w:szCs w:val="21"/>
              </w:rPr>
              <w:t>股）</w:t>
            </w:r>
          </w:p>
        </w:tc>
        <w:tc>
          <w:tcPr>
            <w:tcW w:w="2126"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widowControl/>
              <w:jc w:val="right"/>
              <w:textAlignment w:val="center"/>
              <w:rPr>
                <w:rFonts w:ascii="Times New Roman" w:eastAsia="宋体" w:hAnsi="Times New Roman" w:cs="Times New Roman"/>
                <w:szCs w:val="21"/>
              </w:rPr>
            </w:pPr>
            <w:r w:rsidRPr="00E47BB4">
              <w:rPr>
                <w:rFonts w:ascii="Times New Roman" w:eastAsia="宋体" w:hAnsi="Times New Roman" w:cs="Times New Roman"/>
                <w:color w:val="000000"/>
                <w:kern w:val="0"/>
                <w:szCs w:val="21"/>
              </w:rPr>
              <w:t xml:space="preserve">0.04 </w:t>
            </w:r>
          </w:p>
        </w:tc>
        <w:tc>
          <w:tcPr>
            <w:tcW w:w="1985"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0.02</w:t>
            </w:r>
          </w:p>
        </w:tc>
        <w:tc>
          <w:tcPr>
            <w:tcW w:w="1983"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100.00%</w:t>
            </w:r>
          </w:p>
        </w:tc>
      </w:tr>
      <w:tr w:rsidR="00380CDC">
        <w:trPr>
          <w:trHeight w:val="567"/>
          <w:jc w:val="center"/>
        </w:trPr>
        <w:tc>
          <w:tcPr>
            <w:tcW w:w="354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jc w:val="both"/>
              <w:rPr>
                <w:rFonts w:ascii="Times New Roman" w:eastAsia="宋体" w:hAnsi="Times New Roman" w:cs="Times New Roman"/>
                <w:szCs w:val="21"/>
              </w:rPr>
            </w:pPr>
            <w:r>
              <w:rPr>
                <w:rFonts w:ascii="Times New Roman" w:eastAsia="宋体" w:hAnsi="Times New Roman" w:cs="Times New Roman"/>
                <w:szCs w:val="21"/>
              </w:rPr>
              <w:t>稀释每股收益（元</w:t>
            </w:r>
            <w:r>
              <w:rPr>
                <w:rFonts w:ascii="Times New Roman" w:eastAsia="宋体" w:hAnsi="Times New Roman" w:cs="Times New Roman"/>
                <w:szCs w:val="21"/>
              </w:rPr>
              <w:t>/</w:t>
            </w:r>
            <w:r>
              <w:rPr>
                <w:rFonts w:ascii="Times New Roman" w:eastAsia="宋体" w:hAnsi="Times New Roman" w:cs="Times New Roman"/>
                <w:szCs w:val="21"/>
              </w:rPr>
              <w:t>股）</w:t>
            </w:r>
          </w:p>
        </w:tc>
        <w:tc>
          <w:tcPr>
            <w:tcW w:w="2126"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widowControl/>
              <w:jc w:val="right"/>
              <w:textAlignment w:val="center"/>
              <w:rPr>
                <w:rFonts w:ascii="Times New Roman" w:eastAsia="宋体" w:hAnsi="Times New Roman" w:cs="Times New Roman"/>
                <w:szCs w:val="21"/>
              </w:rPr>
            </w:pPr>
            <w:r w:rsidRPr="00E47BB4">
              <w:rPr>
                <w:rFonts w:ascii="Times New Roman" w:eastAsia="宋体" w:hAnsi="Times New Roman" w:cs="Times New Roman"/>
                <w:color w:val="000000"/>
                <w:kern w:val="0"/>
                <w:szCs w:val="21"/>
              </w:rPr>
              <w:t xml:space="preserve">0.04 </w:t>
            </w:r>
          </w:p>
        </w:tc>
        <w:tc>
          <w:tcPr>
            <w:tcW w:w="1985"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0.02</w:t>
            </w:r>
          </w:p>
        </w:tc>
        <w:tc>
          <w:tcPr>
            <w:tcW w:w="1983"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100.00%</w:t>
            </w:r>
          </w:p>
        </w:tc>
      </w:tr>
      <w:tr w:rsidR="00380CDC">
        <w:trPr>
          <w:trHeight w:val="567"/>
          <w:jc w:val="center"/>
        </w:trPr>
        <w:tc>
          <w:tcPr>
            <w:tcW w:w="354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jc w:val="both"/>
              <w:rPr>
                <w:rFonts w:ascii="Times New Roman" w:eastAsia="宋体" w:hAnsi="Times New Roman" w:cs="Times New Roman"/>
                <w:szCs w:val="21"/>
              </w:rPr>
            </w:pPr>
            <w:r>
              <w:rPr>
                <w:rFonts w:ascii="Times New Roman" w:eastAsia="宋体" w:hAnsi="Times New Roman" w:cs="Times New Roman"/>
                <w:szCs w:val="21"/>
              </w:rPr>
              <w:t>加权平均净资产收益率</w:t>
            </w:r>
          </w:p>
        </w:tc>
        <w:tc>
          <w:tcPr>
            <w:tcW w:w="2126"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1.98%</w:t>
            </w:r>
          </w:p>
        </w:tc>
        <w:tc>
          <w:tcPr>
            <w:tcW w:w="1985"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1.33%</w:t>
            </w:r>
          </w:p>
        </w:tc>
        <w:tc>
          <w:tcPr>
            <w:tcW w:w="1983"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增加</w:t>
            </w:r>
            <w:r w:rsidRPr="00E47BB4">
              <w:rPr>
                <w:rFonts w:ascii="Times New Roman" w:eastAsia="宋体" w:hAnsi="Times New Roman" w:cs="Times New Roman"/>
                <w:szCs w:val="21"/>
              </w:rPr>
              <w:t>0.65</w:t>
            </w:r>
            <w:r w:rsidRPr="00E47BB4">
              <w:rPr>
                <w:rFonts w:ascii="Times New Roman" w:eastAsia="宋体" w:hAnsi="Times New Roman" w:cs="Times New Roman"/>
                <w:szCs w:val="21"/>
              </w:rPr>
              <w:t>个百分点</w:t>
            </w:r>
          </w:p>
        </w:tc>
      </w:tr>
      <w:tr w:rsidR="00380CDC">
        <w:trPr>
          <w:trHeight w:val="567"/>
          <w:jc w:val="center"/>
        </w:trPr>
        <w:tc>
          <w:tcPr>
            <w:tcW w:w="354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jc w:val="center"/>
              <w:rPr>
                <w:rFonts w:ascii="Times New Roman" w:eastAsia="宋体" w:hAnsi="Times New Roman" w:cs="Times New Roman"/>
                <w:szCs w:val="21"/>
              </w:rPr>
            </w:pPr>
            <w:r>
              <w:rPr>
                <w:rFonts w:ascii="Times New Roman" w:eastAsia="宋体" w:hAnsi="Times New Roman" w:cs="Times New Roman"/>
                <w:szCs w:val="21"/>
              </w:rPr>
              <w:t>项目</w:t>
            </w:r>
          </w:p>
        </w:tc>
        <w:tc>
          <w:tcPr>
            <w:tcW w:w="2126"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本报告期末</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上年度末</w:t>
            </w:r>
          </w:p>
        </w:tc>
        <w:tc>
          <w:tcPr>
            <w:tcW w:w="1983"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本报告期末比上年度末增减（</w:t>
            </w:r>
            <w:r>
              <w:rPr>
                <w:rFonts w:ascii="Times New Roman" w:eastAsia="宋体" w:hAnsi="Times New Roman" w:cs="Times New Roman"/>
                <w:szCs w:val="21"/>
              </w:rPr>
              <w:t>%</w:t>
            </w:r>
            <w:r>
              <w:rPr>
                <w:rFonts w:ascii="Times New Roman" w:eastAsia="宋体" w:hAnsi="Times New Roman" w:cs="Times New Roman"/>
                <w:szCs w:val="21"/>
              </w:rPr>
              <w:t>）</w:t>
            </w:r>
          </w:p>
        </w:tc>
      </w:tr>
      <w:tr w:rsidR="00380CDC">
        <w:trPr>
          <w:trHeight w:val="567"/>
          <w:jc w:val="center"/>
        </w:trPr>
        <w:tc>
          <w:tcPr>
            <w:tcW w:w="354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总资产（元）</w:t>
            </w:r>
          </w:p>
        </w:tc>
        <w:tc>
          <w:tcPr>
            <w:tcW w:w="2126"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widowControl/>
              <w:jc w:val="right"/>
              <w:textAlignment w:val="center"/>
              <w:rPr>
                <w:rFonts w:ascii="Times New Roman" w:eastAsia="宋体" w:hAnsi="Times New Roman" w:cs="Times New Roman"/>
                <w:szCs w:val="21"/>
              </w:rPr>
            </w:pPr>
            <w:r w:rsidRPr="00E47BB4">
              <w:rPr>
                <w:rFonts w:ascii="Times New Roman" w:eastAsia="宋体" w:hAnsi="Times New Roman" w:cs="Times New Roman"/>
                <w:szCs w:val="21"/>
              </w:rPr>
              <w:t>4,898,501,840.97</w:t>
            </w:r>
          </w:p>
        </w:tc>
        <w:tc>
          <w:tcPr>
            <w:tcW w:w="1985"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4,974,113,488.54</w:t>
            </w:r>
          </w:p>
        </w:tc>
        <w:tc>
          <w:tcPr>
            <w:tcW w:w="1983"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-1.52%</w:t>
            </w:r>
          </w:p>
        </w:tc>
      </w:tr>
      <w:tr w:rsidR="00380CDC">
        <w:trPr>
          <w:trHeight w:val="673"/>
          <w:jc w:val="center"/>
        </w:trPr>
        <w:tc>
          <w:tcPr>
            <w:tcW w:w="3545"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归属于上市公司股东的所有者权益（元）</w:t>
            </w:r>
          </w:p>
        </w:tc>
        <w:tc>
          <w:tcPr>
            <w:tcW w:w="2126"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widowControl/>
              <w:jc w:val="right"/>
              <w:textAlignment w:val="center"/>
              <w:rPr>
                <w:rFonts w:ascii="Times New Roman" w:eastAsia="宋体" w:hAnsi="Times New Roman" w:cs="Times New Roman"/>
                <w:szCs w:val="21"/>
              </w:rPr>
            </w:pPr>
            <w:r w:rsidRPr="00E47BB4">
              <w:rPr>
                <w:rFonts w:ascii="Times New Roman" w:eastAsia="宋体" w:hAnsi="Times New Roman" w:cs="Times New Roman"/>
                <w:szCs w:val="21"/>
              </w:rPr>
              <w:t>2,174,662,561.17</w:t>
            </w:r>
          </w:p>
        </w:tc>
        <w:tc>
          <w:tcPr>
            <w:tcW w:w="1985"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2,130,834,185.10</w:t>
            </w:r>
          </w:p>
        </w:tc>
        <w:tc>
          <w:tcPr>
            <w:tcW w:w="1983"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2.06%</w:t>
            </w:r>
          </w:p>
        </w:tc>
      </w:tr>
    </w:tbl>
    <w:p w:rsidR="00380CDC" w:rsidRDefault="00071FC2">
      <w:pPr>
        <w:pStyle w:val="headingh1"/>
        <w:spacing w:beforeLines="50" w:before="156" w:afterLines="50" w:after="156" w:line="360" w:lineRule="auto"/>
        <w:rPr>
          <w:rFonts w:ascii="Times New Roman" w:eastAsia="宋体" w:hAnsi="Times New Roman" w:cs="Times New Roman"/>
          <w:b/>
          <w:bCs/>
          <w:sz w:val="24"/>
          <w:szCs w:val="24"/>
        </w:rPr>
      </w:pPr>
      <w:bookmarkStart w:id="2" w:name="_Toc988891"/>
      <w:r>
        <w:rPr>
          <w:rFonts w:ascii="Times New Roman" w:eastAsia="宋体" w:hAnsi="Times New Roman" w:cs="Times New Roman"/>
          <w:b/>
          <w:bCs/>
          <w:sz w:val="24"/>
          <w:szCs w:val="24"/>
        </w:rPr>
        <w:t>（二）</w:t>
      </w:r>
      <w:r>
        <w:rPr>
          <w:rFonts w:ascii="Times New Roman" w:eastAsia="宋体" w:hAnsi="Times New Roman" w:cs="Times New Roman"/>
          <w:b/>
          <w:bCs/>
          <w:sz w:val="24"/>
          <w:szCs w:val="24"/>
        </w:rPr>
        <w:t xml:space="preserve"> </w:t>
      </w:r>
      <w:r>
        <w:rPr>
          <w:rFonts w:ascii="Times New Roman" w:eastAsia="宋体" w:hAnsi="Times New Roman" w:cs="Times New Roman"/>
          <w:b/>
          <w:bCs/>
          <w:sz w:val="24"/>
          <w:szCs w:val="24"/>
        </w:rPr>
        <w:t>非经常性损益项目和金额</w:t>
      </w:r>
      <w:bookmarkEnd w:id="2"/>
    </w:p>
    <w:p w:rsidR="00380CDC" w:rsidRDefault="00071FC2">
      <w:pPr>
        <w:spacing w:beforeLines="50" w:before="156" w:afterLines="50" w:after="156" w:line="360" w:lineRule="auto"/>
        <w:rPr>
          <w:rFonts w:ascii="Times New Roman" w:eastAsia="宋体" w:hAnsi="Times New Roman" w:cs="Times New Roman"/>
          <w:sz w:val="24"/>
          <w:szCs w:val="24"/>
        </w:rPr>
      </w:pPr>
      <w:r>
        <w:rPr>
          <w:rFonts w:ascii="Times New Roman" w:eastAsia="宋体" w:hAnsi="Times New Roman" w:cs="Times New Roman"/>
          <w:sz w:val="24"/>
          <w:szCs w:val="24"/>
        </w:rPr>
        <w:sym w:font="Wingdings 2" w:char="F052"/>
      </w:r>
      <w:r>
        <w:rPr>
          <w:rFonts w:ascii="Times New Roman" w:eastAsia="宋体" w:hAnsi="Times New Roman" w:cs="Times New Roman"/>
          <w:sz w:val="24"/>
          <w:szCs w:val="24"/>
        </w:rPr>
        <w:t>适用</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t>不适用</w:t>
      </w:r>
    </w:p>
    <w:p w:rsidR="00380CDC" w:rsidRDefault="00071FC2">
      <w:pPr>
        <w:spacing w:line="360" w:lineRule="auto"/>
        <w:jc w:val="right"/>
        <w:rPr>
          <w:rFonts w:ascii="Times New Roman" w:eastAsia="宋体" w:hAnsi="Times New Roman" w:cs="Times New Roman"/>
          <w:szCs w:val="21"/>
        </w:rPr>
      </w:pPr>
      <w:r>
        <w:rPr>
          <w:rFonts w:ascii="Times New Roman" w:eastAsia="宋体"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5530"/>
        <w:gridCol w:w="2268"/>
        <w:gridCol w:w="1841"/>
      </w:tblGrid>
      <w:tr w:rsidR="00380CDC">
        <w:trPr>
          <w:trHeight w:val="567"/>
          <w:jc w:val="center"/>
        </w:trPr>
        <w:tc>
          <w:tcPr>
            <w:tcW w:w="5530"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jc w:val="center"/>
              <w:rPr>
                <w:rFonts w:ascii="Times New Roman" w:eastAsia="宋体" w:hAnsi="Times New Roman" w:cs="Times New Roman"/>
                <w:szCs w:val="21"/>
              </w:rPr>
            </w:pPr>
            <w:r>
              <w:rPr>
                <w:rFonts w:ascii="Times New Roman" w:eastAsia="宋体" w:hAnsi="Times New Roman" w:cs="Times New Roman"/>
                <w:szCs w:val="21"/>
              </w:rPr>
              <w:t>项目</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jc w:val="center"/>
              <w:rPr>
                <w:rFonts w:ascii="Times New Roman" w:eastAsia="宋体" w:hAnsi="Times New Roman" w:cs="Times New Roman"/>
                <w:szCs w:val="21"/>
              </w:rPr>
            </w:pPr>
            <w:r>
              <w:rPr>
                <w:rFonts w:ascii="Times New Roman" w:eastAsia="宋体" w:hAnsi="Times New Roman" w:cs="Times New Roman"/>
                <w:szCs w:val="21"/>
              </w:rPr>
              <w:t>本报告期金额</w:t>
            </w:r>
          </w:p>
        </w:tc>
        <w:tc>
          <w:tcPr>
            <w:tcW w:w="1841"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jc w:val="center"/>
              <w:rPr>
                <w:rFonts w:ascii="Times New Roman" w:eastAsia="宋体" w:hAnsi="Times New Roman" w:cs="Times New Roman"/>
                <w:szCs w:val="21"/>
              </w:rPr>
            </w:pPr>
            <w:r>
              <w:rPr>
                <w:rFonts w:ascii="Times New Roman" w:eastAsia="宋体" w:hAnsi="Times New Roman" w:cs="Times New Roman"/>
                <w:szCs w:val="21"/>
              </w:rPr>
              <w:t>说明</w:t>
            </w:r>
          </w:p>
        </w:tc>
      </w:tr>
      <w:tr w:rsidR="00380CDC">
        <w:trPr>
          <w:trHeight w:val="567"/>
          <w:jc w:val="center"/>
        </w:trPr>
        <w:tc>
          <w:tcPr>
            <w:tcW w:w="5530"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76" w:lineRule="auto"/>
              <w:jc w:val="both"/>
              <w:rPr>
                <w:rFonts w:ascii="Times New Roman" w:eastAsia="宋体" w:hAnsi="Times New Roman" w:cs="Times New Roman"/>
                <w:szCs w:val="21"/>
              </w:rPr>
            </w:pPr>
            <w:r>
              <w:rPr>
                <w:rFonts w:ascii="Times New Roman" w:eastAsia="宋体" w:hAnsi="Times New Roman" w:cs="Times New Roman"/>
                <w:szCs w:val="21"/>
              </w:rPr>
              <w:t>非流动性资产处置损益（包括已计提资产减值准备的冲销部分）</w:t>
            </w:r>
          </w:p>
        </w:tc>
        <w:tc>
          <w:tcPr>
            <w:tcW w:w="226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-186,437.80</w:t>
            </w:r>
          </w:p>
        </w:tc>
        <w:tc>
          <w:tcPr>
            <w:tcW w:w="1841" w:type="dxa"/>
            <w:tcBorders>
              <w:top w:val="single" w:sz="2" w:space="0" w:color="auto"/>
              <w:left w:val="single" w:sz="2" w:space="0" w:color="auto"/>
              <w:bottom w:val="single" w:sz="2" w:space="0" w:color="auto"/>
              <w:right w:val="single" w:sz="2" w:space="0" w:color="auto"/>
            </w:tcBorders>
            <w:vAlign w:val="center"/>
          </w:tcPr>
          <w:p w:rsidR="00380CDC" w:rsidRDefault="00380CDC">
            <w:pPr>
              <w:spacing w:line="240" w:lineRule="exact"/>
              <w:rPr>
                <w:rFonts w:ascii="Times New Roman" w:eastAsia="宋体" w:hAnsi="Times New Roman" w:cs="Times New Roman"/>
                <w:szCs w:val="21"/>
              </w:rPr>
            </w:pPr>
          </w:p>
        </w:tc>
      </w:tr>
      <w:tr w:rsidR="00380CDC">
        <w:trPr>
          <w:trHeight w:val="567"/>
          <w:jc w:val="center"/>
        </w:trPr>
        <w:tc>
          <w:tcPr>
            <w:tcW w:w="5530"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76" w:lineRule="auto"/>
              <w:jc w:val="both"/>
              <w:rPr>
                <w:rFonts w:ascii="Times New Roman" w:eastAsia="宋体" w:hAnsi="Times New Roman" w:cs="Times New Roman"/>
                <w:szCs w:val="21"/>
              </w:rPr>
            </w:pPr>
            <w:r>
              <w:rPr>
                <w:rFonts w:ascii="Times New Roman" w:eastAsia="宋体" w:hAnsi="Times New Roman" w:cs="Times New Roman"/>
                <w:szCs w:val="21"/>
              </w:rPr>
              <w:t>计入当期损益的政府补助（与公司正常经营业务密切相关、符合国家政策规定、按照确定的标准享有、对公司损益产生持续影响的政府补助除外）</w:t>
            </w:r>
          </w:p>
        </w:tc>
        <w:tc>
          <w:tcPr>
            <w:tcW w:w="226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1,508,477.18</w:t>
            </w:r>
          </w:p>
        </w:tc>
        <w:tc>
          <w:tcPr>
            <w:tcW w:w="1841" w:type="dxa"/>
            <w:tcBorders>
              <w:top w:val="single" w:sz="2" w:space="0" w:color="auto"/>
              <w:left w:val="single" w:sz="2" w:space="0" w:color="auto"/>
              <w:bottom w:val="single" w:sz="2" w:space="0" w:color="auto"/>
              <w:right w:val="single" w:sz="2" w:space="0" w:color="auto"/>
            </w:tcBorders>
            <w:vAlign w:val="center"/>
          </w:tcPr>
          <w:p w:rsidR="00380CDC" w:rsidRDefault="00380CDC">
            <w:pPr>
              <w:spacing w:line="240" w:lineRule="exact"/>
              <w:rPr>
                <w:rFonts w:ascii="Times New Roman" w:eastAsia="宋体" w:hAnsi="Times New Roman" w:cs="Times New Roman"/>
                <w:szCs w:val="21"/>
              </w:rPr>
            </w:pPr>
          </w:p>
        </w:tc>
      </w:tr>
      <w:tr w:rsidR="00380CDC">
        <w:trPr>
          <w:trHeight w:val="567"/>
          <w:jc w:val="center"/>
        </w:trPr>
        <w:tc>
          <w:tcPr>
            <w:tcW w:w="5530"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76" w:lineRule="auto"/>
              <w:jc w:val="both"/>
              <w:rPr>
                <w:rFonts w:ascii="Times New Roman" w:eastAsia="宋体" w:hAnsi="Times New Roman" w:cs="Times New Roman"/>
                <w:szCs w:val="21"/>
              </w:rPr>
            </w:pPr>
            <w:r>
              <w:rPr>
                <w:rFonts w:ascii="Times New Roman" w:eastAsia="宋体" w:hAnsi="Times New Roman" w:cs="Times New Roman"/>
                <w:szCs w:val="21"/>
              </w:rPr>
              <w:t>除同公司正常经营业务相关的有效套期保值业务外，非金融企业持有金融资产和金融负债产生的公允价值变动损益以及处置金融资产和金融负债产生的损益</w:t>
            </w:r>
          </w:p>
        </w:tc>
        <w:tc>
          <w:tcPr>
            <w:tcW w:w="226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2,228,100.00</w:t>
            </w:r>
          </w:p>
        </w:tc>
        <w:tc>
          <w:tcPr>
            <w:tcW w:w="1841" w:type="dxa"/>
            <w:tcBorders>
              <w:top w:val="single" w:sz="2" w:space="0" w:color="auto"/>
              <w:left w:val="single" w:sz="2" w:space="0" w:color="auto"/>
              <w:bottom w:val="single" w:sz="2" w:space="0" w:color="auto"/>
              <w:right w:val="single" w:sz="2" w:space="0" w:color="auto"/>
            </w:tcBorders>
            <w:vAlign w:val="center"/>
          </w:tcPr>
          <w:p w:rsidR="00380CDC" w:rsidRDefault="00380CDC">
            <w:pPr>
              <w:spacing w:line="240" w:lineRule="exact"/>
              <w:rPr>
                <w:rFonts w:ascii="Times New Roman" w:eastAsia="宋体" w:hAnsi="Times New Roman" w:cs="Times New Roman"/>
                <w:szCs w:val="21"/>
              </w:rPr>
            </w:pPr>
          </w:p>
        </w:tc>
      </w:tr>
      <w:tr w:rsidR="00380CDC">
        <w:trPr>
          <w:trHeight w:val="567"/>
          <w:jc w:val="center"/>
        </w:trPr>
        <w:tc>
          <w:tcPr>
            <w:tcW w:w="5530"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76" w:lineRule="auto"/>
              <w:jc w:val="both"/>
              <w:rPr>
                <w:rFonts w:ascii="Times New Roman" w:eastAsia="宋体" w:hAnsi="Times New Roman" w:cs="Times New Roman"/>
                <w:szCs w:val="21"/>
              </w:rPr>
            </w:pPr>
            <w:r>
              <w:rPr>
                <w:rFonts w:ascii="Times New Roman" w:eastAsia="宋体" w:hAnsi="Times New Roman" w:cs="Times New Roman"/>
                <w:szCs w:val="21"/>
              </w:rPr>
              <w:t>除上述各项之外的其他营业外收入和支出</w:t>
            </w:r>
          </w:p>
        </w:tc>
        <w:tc>
          <w:tcPr>
            <w:tcW w:w="226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-143,398.36</w:t>
            </w:r>
          </w:p>
        </w:tc>
        <w:tc>
          <w:tcPr>
            <w:tcW w:w="1841" w:type="dxa"/>
            <w:tcBorders>
              <w:top w:val="single" w:sz="2" w:space="0" w:color="auto"/>
              <w:left w:val="single" w:sz="2" w:space="0" w:color="auto"/>
              <w:bottom w:val="single" w:sz="2" w:space="0" w:color="auto"/>
              <w:right w:val="single" w:sz="2" w:space="0" w:color="auto"/>
            </w:tcBorders>
            <w:vAlign w:val="center"/>
          </w:tcPr>
          <w:p w:rsidR="00380CDC" w:rsidRDefault="00380CDC">
            <w:pPr>
              <w:spacing w:line="240" w:lineRule="exact"/>
              <w:rPr>
                <w:rFonts w:ascii="Times New Roman" w:eastAsia="宋体" w:hAnsi="Times New Roman" w:cs="Times New Roman"/>
                <w:szCs w:val="21"/>
              </w:rPr>
            </w:pPr>
          </w:p>
        </w:tc>
      </w:tr>
      <w:tr w:rsidR="00380CDC">
        <w:trPr>
          <w:trHeight w:val="567"/>
          <w:jc w:val="center"/>
        </w:trPr>
        <w:tc>
          <w:tcPr>
            <w:tcW w:w="5530"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76" w:lineRule="auto"/>
              <w:jc w:val="both"/>
              <w:rPr>
                <w:rFonts w:ascii="Times New Roman" w:eastAsia="宋体" w:hAnsi="Times New Roman" w:cs="Times New Roman"/>
                <w:szCs w:val="21"/>
              </w:rPr>
            </w:pPr>
            <w:r>
              <w:rPr>
                <w:rFonts w:ascii="Times New Roman" w:eastAsia="宋体" w:hAnsi="Times New Roman" w:cs="Times New Roman"/>
                <w:szCs w:val="21"/>
              </w:rPr>
              <w:t>其他符合非经常性损益定义的损益项目</w:t>
            </w:r>
          </w:p>
        </w:tc>
        <w:tc>
          <w:tcPr>
            <w:tcW w:w="226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-1,733,089.68</w:t>
            </w:r>
          </w:p>
        </w:tc>
        <w:tc>
          <w:tcPr>
            <w:tcW w:w="1841" w:type="dxa"/>
            <w:tcBorders>
              <w:top w:val="single" w:sz="2" w:space="0" w:color="auto"/>
              <w:left w:val="single" w:sz="2" w:space="0" w:color="auto"/>
              <w:bottom w:val="single" w:sz="2" w:space="0" w:color="auto"/>
              <w:right w:val="single" w:sz="2" w:space="0" w:color="auto"/>
            </w:tcBorders>
            <w:vAlign w:val="center"/>
          </w:tcPr>
          <w:p w:rsidR="00380CDC" w:rsidRDefault="00380CDC">
            <w:pPr>
              <w:spacing w:line="240" w:lineRule="exact"/>
              <w:rPr>
                <w:rFonts w:ascii="Times New Roman" w:eastAsia="宋体" w:hAnsi="Times New Roman" w:cs="Times New Roman"/>
                <w:szCs w:val="21"/>
              </w:rPr>
            </w:pPr>
          </w:p>
        </w:tc>
      </w:tr>
      <w:tr w:rsidR="00380CDC">
        <w:trPr>
          <w:trHeight w:val="567"/>
          <w:jc w:val="center"/>
        </w:trPr>
        <w:tc>
          <w:tcPr>
            <w:tcW w:w="5530"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jc w:val="both"/>
              <w:rPr>
                <w:rFonts w:ascii="Times New Roman" w:eastAsia="宋体" w:hAnsi="Times New Roman" w:cs="Times New Roman"/>
                <w:szCs w:val="21"/>
              </w:rPr>
            </w:pPr>
            <w:r>
              <w:rPr>
                <w:rFonts w:ascii="Times New Roman" w:eastAsia="宋体" w:hAnsi="Times New Roman" w:cs="Times New Roman"/>
                <w:szCs w:val="21"/>
              </w:rPr>
              <w:t>小计</w:t>
            </w:r>
          </w:p>
        </w:tc>
        <w:tc>
          <w:tcPr>
            <w:tcW w:w="226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jc w:val="right"/>
              <w:rPr>
                <w:rFonts w:ascii="Times New Roman" w:eastAsia="宋体" w:hAnsi="Times New Roman" w:cs="Times New Roman"/>
                <w:szCs w:val="21"/>
              </w:rPr>
            </w:pPr>
            <w:r w:rsidRPr="00E47BB4">
              <w:rPr>
                <w:rFonts w:ascii="Times New Roman" w:hAnsi="Times New Roman" w:cs="Times New Roman"/>
                <w:szCs w:val="21"/>
              </w:rPr>
              <w:t>1,673,651.34</w:t>
            </w:r>
          </w:p>
        </w:tc>
        <w:tc>
          <w:tcPr>
            <w:tcW w:w="1841" w:type="dxa"/>
            <w:tcBorders>
              <w:top w:val="single" w:sz="2" w:space="0" w:color="auto"/>
              <w:left w:val="single" w:sz="2" w:space="0" w:color="auto"/>
              <w:bottom w:val="single" w:sz="2" w:space="0" w:color="auto"/>
              <w:right w:val="single" w:sz="2" w:space="0" w:color="auto"/>
            </w:tcBorders>
            <w:vAlign w:val="center"/>
          </w:tcPr>
          <w:p w:rsidR="00380CDC" w:rsidRDefault="00380CDC">
            <w:pPr>
              <w:spacing w:line="240" w:lineRule="exact"/>
              <w:rPr>
                <w:rFonts w:ascii="Times New Roman" w:eastAsia="宋体" w:hAnsi="Times New Roman" w:cs="Times New Roman"/>
                <w:szCs w:val="21"/>
              </w:rPr>
            </w:pPr>
          </w:p>
        </w:tc>
      </w:tr>
      <w:tr w:rsidR="00380CDC">
        <w:trPr>
          <w:trHeight w:val="567"/>
          <w:jc w:val="center"/>
        </w:trPr>
        <w:tc>
          <w:tcPr>
            <w:tcW w:w="5530"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jc w:val="both"/>
              <w:rPr>
                <w:rFonts w:ascii="Times New Roman" w:eastAsia="宋体" w:hAnsi="Times New Roman" w:cs="Times New Roman"/>
                <w:szCs w:val="21"/>
              </w:rPr>
            </w:pPr>
            <w:r>
              <w:rPr>
                <w:rFonts w:ascii="Times New Roman" w:eastAsia="宋体" w:hAnsi="Times New Roman" w:cs="Times New Roman"/>
                <w:szCs w:val="21"/>
              </w:rPr>
              <w:t>减：所得税影响额</w:t>
            </w:r>
          </w:p>
        </w:tc>
        <w:tc>
          <w:tcPr>
            <w:tcW w:w="226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29,647.80</w:t>
            </w:r>
          </w:p>
        </w:tc>
        <w:tc>
          <w:tcPr>
            <w:tcW w:w="1841" w:type="dxa"/>
            <w:tcBorders>
              <w:top w:val="single" w:sz="2" w:space="0" w:color="auto"/>
              <w:left w:val="single" w:sz="2" w:space="0" w:color="auto"/>
              <w:bottom w:val="single" w:sz="2" w:space="0" w:color="auto"/>
              <w:right w:val="single" w:sz="2" w:space="0" w:color="auto"/>
            </w:tcBorders>
            <w:vAlign w:val="center"/>
          </w:tcPr>
          <w:p w:rsidR="00380CDC" w:rsidRDefault="00380CDC">
            <w:pPr>
              <w:spacing w:line="240" w:lineRule="exact"/>
              <w:rPr>
                <w:rFonts w:ascii="Times New Roman" w:eastAsia="宋体" w:hAnsi="Times New Roman" w:cs="Times New Roman"/>
                <w:szCs w:val="21"/>
              </w:rPr>
            </w:pPr>
          </w:p>
        </w:tc>
      </w:tr>
      <w:tr w:rsidR="00380CDC">
        <w:trPr>
          <w:trHeight w:val="567"/>
          <w:jc w:val="center"/>
        </w:trPr>
        <w:tc>
          <w:tcPr>
            <w:tcW w:w="5530"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200" w:firstLine="420"/>
              <w:jc w:val="both"/>
              <w:rPr>
                <w:rFonts w:ascii="Times New Roman" w:eastAsia="宋体" w:hAnsi="Times New Roman" w:cs="Times New Roman"/>
                <w:szCs w:val="21"/>
              </w:rPr>
            </w:pPr>
            <w:r>
              <w:rPr>
                <w:rFonts w:ascii="Times New Roman" w:eastAsia="宋体" w:hAnsi="Times New Roman" w:cs="Times New Roman"/>
                <w:szCs w:val="21"/>
              </w:rPr>
              <w:t>少数股东权益影响额（税后）</w:t>
            </w:r>
          </w:p>
        </w:tc>
        <w:tc>
          <w:tcPr>
            <w:tcW w:w="226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-69.38</w:t>
            </w:r>
          </w:p>
        </w:tc>
        <w:tc>
          <w:tcPr>
            <w:tcW w:w="1841" w:type="dxa"/>
            <w:tcBorders>
              <w:top w:val="single" w:sz="2" w:space="0" w:color="auto"/>
              <w:left w:val="single" w:sz="2" w:space="0" w:color="auto"/>
              <w:bottom w:val="single" w:sz="2" w:space="0" w:color="auto"/>
              <w:right w:val="single" w:sz="2" w:space="0" w:color="auto"/>
            </w:tcBorders>
            <w:vAlign w:val="center"/>
          </w:tcPr>
          <w:p w:rsidR="00380CDC" w:rsidRDefault="00380CDC">
            <w:pPr>
              <w:spacing w:line="240" w:lineRule="exact"/>
              <w:rPr>
                <w:rFonts w:ascii="Times New Roman" w:eastAsia="宋体" w:hAnsi="Times New Roman" w:cs="Times New Roman"/>
                <w:szCs w:val="21"/>
              </w:rPr>
            </w:pPr>
          </w:p>
        </w:tc>
      </w:tr>
      <w:tr w:rsidR="00380CDC">
        <w:trPr>
          <w:trHeight w:val="567"/>
          <w:jc w:val="center"/>
        </w:trPr>
        <w:tc>
          <w:tcPr>
            <w:tcW w:w="5530"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jc w:val="both"/>
              <w:rPr>
                <w:rFonts w:ascii="Times New Roman" w:eastAsia="宋体" w:hAnsi="Times New Roman" w:cs="Times New Roman"/>
                <w:szCs w:val="21"/>
              </w:rPr>
            </w:pPr>
            <w:r>
              <w:rPr>
                <w:rFonts w:ascii="Times New Roman" w:eastAsia="宋体" w:hAnsi="Times New Roman" w:cs="Times New Roman"/>
                <w:szCs w:val="21"/>
              </w:rPr>
              <w:t>合计</w:t>
            </w:r>
          </w:p>
        </w:tc>
        <w:tc>
          <w:tcPr>
            <w:tcW w:w="226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1,644,072.92</w:t>
            </w:r>
          </w:p>
        </w:tc>
        <w:tc>
          <w:tcPr>
            <w:tcW w:w="1841"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jc w:val="center"/>
              <w:rPr>
                <w:rFonts w:ascii="Times New Roman" w:eastAsia="宋体" w:hAnsi="Times New Roman" w:cs="Times New Roman"/>
                <w:szCs w:val="21"/>
              </w:rPr>
            </w:pPr>
            <w:r>
              <w:rPr>
                <w:rFonts w:ascii="Times New Roman" w:eastAsia="宋体" w:hAnsi="Times New Roman" w:cs="Times New Roman"/>
                <w:szCs w:val="21"/>
              </w:rPr>
              <w:t>--</w:t>
            </w:r>
          </w:p>
        </w:tc>
      </w:tr>
    </w:tbl>
    <w:p w:rsidR="00380CDC" w:rsidRDefault="00071FC2">
      <w:pPr>
        <w:spacing w:beforeLines="50" w:before="156" w:afterLines="50" w:after="156" w:line="360" w:lineRule="auto"/>
        <w:rPr>
          <w:rFonts w:ascii="Times New Roman" w:eastAsia="宋体" w:hAnsi="Times New Roman" w:cs="Times New Roman"/>
          <w:b/>
          <w:sz w:val="24"/>
          <w:szCs w:val="24"/>
        </w:rPr>
      </w:pPr>
      <w:r>
        <w:rPr>
          <w:rFonts w:ascii="Times New Roman" w:eastAsia="宋体" w:hAnsi="Times New Roman" w:cs="Times New Roman"/>
          <w:b/>
          <w:sz w:val="24"/>
          <w:szCs w:val="24"/>
        </w:rPr>
        <w:t>其他符合非经常性损益定义的损益项目的具体情况</w:t>
      </w:r>
    </w:p>
    <w:p w:rsidR="00380CDC" w:rsidRDefault="00071FC2">
      <w:pPr>
        <w:spacing w:beforeLines="50" w:before="156" w:afterLines="50" w:after="156" w:line="360" w:lineRule="auto"/>
        <w:rPr>
          <w:rFonts w:ascii="Times New Roman" w:eastAsia="宋体" w:hAnsi="Times New Roman" w:cs="Times New Roman"/>
          <w:sz w:val="24"/>
          <w:szCs w:val="24"/>
        </w:rPr>
      </w:pPr>
      <w:r>
        <w:rPr>
          <w:rFonts w:ascii="Times New Roman" w:eastAsia="宋体" w:hAnsi="Times New Roman" w:cs="Times New Roman"/>
          <w:sz w:val="24"/>
          <w:szCs w:val="24"/>
        </w:rPr>
        <w:sym w:font="Wingdings 2" w:char="F052"/>
      </w:r>
      <w:r>
        <w:rPr>
          <w:rFonts w:ascii="Times New Roman" w:eastAsia="宋体" w:hAnsi="Times New Roman" w:cs="Times New Roman"/>
          <w:sz w:val="24"/>
          <w:szCs w:val="24"/>
        </w:rPr>
        <w:t>适用</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t>不适用</w:t>
      </w:r>
    </w:p>
    <w:p w:rsidR="00380CDC" w:rsidRDefault="00071FC2">
      <w:pPr>
        <w:pStyle w:val="ab"/>
        <w:spacing w:before="0" w:beforeAutospacing="0" w:after="0" w:afterAutospacing="0" w:line="360" w:lineRule="auto"/>
        <w:ind w:firstLine="420"/>
        <w:jc w:val="both"/>
        <w:rPr>
          <w:rFonts w:ascii="Times New Roman" w:hAnsi="Times New Roman" w:cs="Times New Roman"/>
          <w:kern w:val="2"/>
        </w:rPr>
      </w:pPr>
      <w:r>
        <w:rPr>
          <w:rFonts w:ascii="Times New Roman" w:hAnsi="Times New Roman" w:cs="Times New Roman"/>
          <w:kern w:val="2"/>
        </w:rPr>
        <w:lastRenderedPageBreak/>
        <w:t>年初至报告期末</w:t>
      </w:r>
      <w:r>
        <w:rPr>
          <w:rFonts w:ascii="Times New Roman" w:hAnsi="Times New Roman" w:cs="Times New Roman"/>
          <w:kern w:val="2"/>
        </w:rPr>
        <w:t>“</w:t>
      </w:r>
      <w:r>
        <w:rPr>
          <w:rFonts w:ascii="Times New Roman" w:hAnsi="Times New Roman" w:cs="Times New Roman"/>
          <w:kern w:val="2"/>
        </w:rPr>
        <w:t>其他符合非经常性损益定义的损益项目</w:t>
      </w:r>
      <w:r>
        <w:rPr>
          <w:rFonts w:ascii="Times New Roman" w:hAnsi="Times New Roman" w:cs="Times New Roman"/>
          <w:kern w:val="2"/>
        </w:rPr>
        <w:t>”</w:t>
      </w:r>
      <w:r>
        <w:rPr>
          <w:rFonts w:ascii="Times New Roman" w:hAnsi="Times New Roman" w:cs="Times New Roman"/>
          <w:kern w:val="2"/>
        </w:rPr>
        <w:t>发生额</w:t>
      </w:r>
      <w:r>
        <w:rPr>
          <w:rFonts w:ascii="Times New Roman" w:hAnsi="Times New Roman" w:cs="Times New Roman"/>
          <w:kern w:val="2"/>
        </w:rPr>
        <w:t>-1,733,089.68</w:t>
      </w:r>
      <w:r>
        <w:rPr>
          <w:rFonts w:ascii="Times New Roman" w:hAnsi="Times New Roman" w:cs="Times New Roman"/>
          <w:kern w:val="2"/>
        </w:rPr>
        <w:t>元，系公司对大余石雷钨矿尾矿库进行风险隐患治理，对尾矿库实施闭库产生的费用。</w:t>
      </w:r>
    </w:p>
    <w:p w:rsidR="00380CDC" w:rsidRDefault="00071FC2">
      <w:pPr>
        <w:spacing w:beforeLines="50" w:before="156" w:afterLines="50" w:after="156" w:line="360" w:lineRule="auto"/>
        <w:jc w:val="both"/>
        <w:rPr>
          <w:rFonts w:ascii="Times New Roman" w:eastAsia="宋体" w:hAnsi="Times New Roman" w:cs="Times New Roman"/>
          <w:b/>
          <w:sz w:val="24"/>
          <w:szCs w:val="24"/>
        </w:rPr>
      </w:pPr>
      <w:r>
        <w:rPr>
          <w:rFonts w:ascii="Times New Roman" w:eastAsia="宋体" w:hAnsi="Times New Roman" w:cs="Times New Roman"/>
          <w:b/>
          <w:sz w:val="24"/>
          <w:szCs w:val="24"/>
        </w:rPr>
        <w:t>将《公开发行证券的公司信息披露解释性公告第</w:t>
      </w:r>
      <w:r>
        <w:rPr>
          <w:rFonts w:ascii="Times New Roman" w:eastAsia="宋体" w:hAnsi="Times New Roman" w:cs="Times New Roman"/>
          <w:b/>
          <w:sz w:val="24"/>
          <w:szCs w:val="24"/>
        </w:rPr>
        <w:t>1</w:t>
      </w:r>
      <w:r>
        <w:rPr>
          <w:rFonts w:ascii="Times New Roman" w:eastAsia="宋体" w:hAnsi="Times New Roman" w:cs="Times New Roman"/>
          <w:b/>
          <w:sz w:val="24"/>
          <w:szCs w:val="24"/>
        </w:rPr>
        <w:t>号</w:t>
      </w:r>
      <w:r>
        <w:rPr>
          <w:rFonts w:ascii="Times New Roman" w:eastAsia="宋体" w:hAnsi="Times New Roman" w:cs="Times New Roman"/>
          <w:b/>
          <w:sz w:val="24"/>
          <w:szCs w:val="24"/>
        </w:rPr>
        <w:t>——</w:t>
      </w:r>
      <w:r>
        <w:rPr>
          <w:rFonts w:ascii="Times New Roman" w:eastAsia="宋体" w:hAnsi="Times New Roman" w:cs="Times New Roman"/>
          <w:b/>
          <w:sz w:val="24"/>
          <w:szCs w:val="24"/>
        </w:rPr>
        <w:t>非经常性损益》中列举的非经常性损益项目界定为经常性损益项目的情况说明</w:t>
      </w:r>
    </w:p>
    <w:p w:rsidR="00380CDC" w:rsidRDefault="00071FC2">
      <w:pPr>
        <w:spacing w:beforeLines="50" w:before="156" w:afterLines="50" w:after="156" w:line="360" w:lineRule="auto"/>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适用</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sym w:font="Wingdings 2" w:char="F052"/>
      </w:r>
      <w:r>
        <w:rPr>
          <w:rFonts w:ascii="Times New Roman" w:eastAsia="宋体" w:hAnsi="Times New Roman" w:cs="Times New Roman"/>
          <w:sz w:val="24"/>
          <w:szCs w:val="24"/>
        </w:rPr>
        <w:t>不适用</w:t>
      </w:r>
    </w:p>
    <w:p w:rsidR="00380CDC" w:rsidRDefault="00071FC2">
      <w:pPr>
        <w:spacing w:beforeLines="50" w:before="156" w:afterLines="50" w:after="156"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公司不存在将《公开发行证券的公司信息披露解释性公告第</w:t>
      </w:r>
      <w:r>
        <w:rPr>
          <w:rFonts w:ascii="Times New Roman" w:eastAsia="宋体" w:hAnsi="Times New Roman" w:cs="Times New Roman"/>
          <w:sz w:val="24"/>
          <w:szCs w:val="24"/>
        </w:rPr>
        <w:t>1</w:t>
      </w:r>
      <w:r>
        <w:rPr>
          <w:rFonts w:ascii="Times New Roman" w:eastAsia="宋体" w:hAnsi="Times New Roman" w:cs="Times New Roman"/>
          <w:sz w:val="24"/>
          <w:szCs w:val="24"/>
        </w:rPr>
        <w:t>号</w:t>
      </w:r>
      <w:r>
        <w:rPr>
          <w:rFonts w:ascii="Times New Roman" w:eastAsia="宋体" w:hAnsi="Times New Roman" w:cs="Times New Roman"/>
          <w:sz w:val="24"/>
          <w:szCs w:val="24"/>
        </w:rPr>
        <w:t>——</w:t>
      </w:r>
      <w:r>
        <w:rPr>
          <w:rFonts w:ascii="Times New Roman" w:eastAsia="宋体" w:hAnsi="Times New Roman" w:cs="Times New Roman"/>
          <w:sz w:val="24"/>
          <w:szCs w:val="24"/>
        </w:rPr>
        <w:t>非经常性损益》中列举的非经常性损益项目界定为经常性损益的项目的情形。</w:t>
      </w:r>
    </w:p>
    <w:p w:rsidR="00380CDC" w:rsidRDefault="00071FC2">
      <w:pPr>
        <w:pStyle w:val="2"/>
        <w:spacing w:before="300" w:after="300" w:line="280" w:lineRule="exact"/>
        <w:rPr>
          <w:rFonts w:ascii="Times New Roman" w:eastAsia="宋体" w:hAnsi="Times New Roman" w:cs="Times New Roman"/>
          <w:b/>
          <w:bCs/>
          <w:sz w:val="24"/>
          <w:szCs w:val="24"/>
        </w:rPr>
      </w:pPr>
      <w:bookmarkStart w:id="3" w:name="_Toc988892"/>
      <w:r>
        <w:rPr>
          <w:rFonts w:ascii="Times New Roman" w:eastAsia="宋体" w:hAnsi="Times New Roman" w:cs="Times New Roman"/>
          <w:b/>
          <w:bCs/>
          <w:sz w:val="24"/>
          <w:szCs w:val="24"/>
        </w:rPr>
        <w:t>（三）</w:t>
      </w:r>
      <w:r>
        <w:rPr>
          <w:rFonts w:ascii="Times New Roman" w:eastAsia="宋体" w:hAnsi="Times New Roman" w:cs="Times New Roman"/>
          <w:b/>
          <w:bCs/>
          <w:sz w:val="24"/>
          <w:szCs w:val="24"/>
        </w:rPr>
        <w:t xml:space="preserve"> </w:t>
      </w:r>
      <w:r>
        <w:rPr>
          <w:rFonts w:ascii="Times New Roman" w:eastAsia="宋体" w:hAnsi="Times New Roman" w:cs="Times New Roman"/>
          <w:b/>
          <w:bCs/>
          <w:sz w:val="24"/>
          <w:szCs w:val="24"/>
        </w:rPr>
        <w:t>主要会计数据和财务指标发生变动的情况及原因</w:t>
      </w:r>
      <w:bookmarkEnd w:id="3"/>
    </w:p>
    <w:p w:rsidR="00380CDC" w:rsidRDefault="00071FC2">
      <w:pPr>
        <w:spacing w:beforeLines="50" w:before="156" w:afterLines="50" w:after="156" w:line="360" w:lineRule="auto"/>
        <w:rPr>
          <w:rFonts w:ascii="Times New Roman" w:eastAsia="宋体" w:hAnsi="Times New Roman" w:cs="Times New Roman"/>
          <w:sz w:val="24"/>
          <w:szCs w:val="24"/>
        </w:rPr>
      </w:pPr>
      <w:r>
        <w:rPr>
          <w:rFonts w:ascii="Times New Roman" w:eastAsia="宋体" w:hAnsi="Times New Roman" w:cs="Times New Roman"/>
          <w:sz w:val="24"/>
          <w:szCs w:val="24"/>
        </w:rPr>
        <w:sym w:font="Wingdings 2" w:char="F052"/>
      </w:r>
      <w:r>
        <w:rPr>
          <w:rFonts w:ascii="Times New Roman" w:eastAsia="宋体" w:hAnsi="Times New Roman" w:cs="Times New Roman"/>
          <w:sz w:val="24"/>
          <w:szCs w:val="24"/>
        </w:rPr>
        <w:t>适用</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t>不适用</w:t>
      </w:r>
    </w:p>
    <w:p w:rsidR="00380CDC" w:rsidRDefault="00071FC2">
      <w:pPr>
        <w:spacing w:beforeLines="50" w:before="156" w:afterLines="50" w:after="156"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 xml:space="preserve">1. </w:t>
      </w:r>
      <w:r>
        <w:rPr>
          <w:rFonts w:ascii="Times New Roman" w:eastAsia="宋体" w:hAnsi="Times New Roman" w:cs="Times New Roman"/>
          <w:b/>
          <w:sz w:val="24"/>
          <w:szCs w:val="24"/>
        </w:rPr>
        <w:t>资产负债表</w:t>
      </w:r>
    </w:p>
    <w:p w:rsidR="00380CDC" w:rsidRDefault="00071FC2">
      <w:pPr>
        <w:spacing w:line="360" w:lineRule="auto"/>
        <w:jc w:val="right"/>
        <w:rPr>
          <w:rFonts w:ascii="Times New Roman" w:eastAsia="宋体" w:hAnsi="Times New Roman" w:cs="Times New Roman"/>
          <w:szCs w:val="21"/>
        </w:rPr>
      </w:pPr>
      <w:r>
        <w:rPr>
          <w:rFonts w:ascii="Times New Roman" w:eastAsia="宋体" w:hAnsi="Times New Roman" w:cs="Times New Roman"/>
          <w:szCs w:val="21"/>
        </w:rPr>
        <w:t>单位：万元</w:t>
      </w:r>
    </w:p>
    <w:tbl>
      <w:tblPr>
        <w:tblW w:w="9434" w:type="dxa"/>
        <w:jc w:val="center"/>
        <w:tblCellMar>
          <w:left w:w="0" w:type="dxa"/>
          <w:right w:w="0" w:type="dxa"/>
        </w:tblCellMar>
        <w:tblLook w:val="04A0" w:firstRow="1" w:lastRow="0" w:firstColumn="1" w:lastColumn="0" w:noHBand="0" w:noVBand="1"/>
      </w:tblPr>
      <w:tblGrid>
        <w:gridCol w:w="2981"/>
        <w:gridCol w:w="1579"/>
        <w:gridCol w:w="1580"/>
        <w:gridCol w:w="1707"/>
        <w:gridCol w:w="1587"/>
      </w:tblGrid>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项目</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期末数</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年初数</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变动金额</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增减幅度</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b/>
                <w:bCs/>
                <w:color w:val="000000"/>
                <w:szCs w:val="21"/>
              </w:rPr>
            </w:pPr>
            <w:r>
              <w:rPr>
                <w:rFonts w:ascii="Times New Roman" w:eastAsia="宋体" w:hAnsi="Times New Roman" w:cs="Times New Roman"/>
                <w:color w:val="000000"/>
                <w:szCs w:val="21"/>
              </w:rPr>
              <w:t>衍生金融资产</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79.28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Pr="00E47BB4" w:rsidRDefault="00071FC2" w:rsidP="00071FC2">
            <w:pPr>
              <w:jc w:val="right"/>
              <w:rPr>
                <w:rFonts w:ascii="Times New Roman" w:eastAsia="宋体" w:hAnsi="Times New Roman" w:cs="Times New Roman"/>
                <w:szCs w:val="21"/>
              </w:rPr>
            </w:pPr>
            <w:r w:rsidRPr="00E47BB4">
              <w:rPr>
                <w:rFonts w:ascii="Times New Roman" w:eastAsia="宋体" w:hAnsi="Times New Roman" w:cs="Times New Roman" w:hint="eastAsia"/>
                <w:szCs w:val="21"/>
              </w:rPr>
              <w:t>0.00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 xml:space="preserve">79.28 </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rsidP="00E47BB4">
            <w:pPr>
              <w:jc w:val="center"/>
              <w:rPr>
                <w:rFonts w:ascii="Times New Roman" w:eastAsia="宋体" w:hAnsi="Times New Roman" w:cs="Times New Roman"/>
                <w:szCs w:val="21"/>
              </w:rPr>
            </w:pPr>
            <w:r w:rsidRPr="00E47BB4">
              <w:rPr>
                <w:rFonts w:ascii="Times New Roman" w:eastAsia="宋体" w:hAnsi="Times New Roman" w:cs="Times New Roman"/>
                <w:szCs w:val="21"/>
              </w:rPr>
              <w:t>-</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应收票据</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205.50</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4,331.76</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-4,126.26</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-95.26%</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应收账款</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78,021.02</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37,828.12</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40,192.90</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106.25%</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应收款项融资</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18,014.95</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31,546.62</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-13,531.67</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-42.89%</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预付款项</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2,627.23</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1,730.23</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897.00</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51.84%</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其他应收款</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327.27</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237.74</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89.53</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37.66%</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其他流动资产</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172.44</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2,550.40</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-2,377.96</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-93.24%</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使用权资产</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1,346.89</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534.76</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812.13</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151.87%</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衍生金融负债</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rsidP="00071FC2">
            <w:pPr>
              <w:jc w:val="right"/>
              <w:rPr>
                <w:rFonts w:ascii="Times New Roman" w:eastAsia="宋体" w:hAnsi="Times New Roman" w:cs="Times New Roman"/>
                <w:szCs w:val="21"/>
              </w:rPr>
            </w:pPr>
            <w:r w:rsidRPr="00E47BB4">
              <w:rPr>
                <w:rFonts w:ascii="Times New Roman" w:eastAsia="宋体" w:hAnsi="Times New Roman" w:cs="Times New Roman" w:hint="eastAsia"/>
                <w:szCs w:val="21"/>
              </w:rPr>
              <w:t>0.00</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143.54</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-143.54</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-100.00%</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应付票据</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31,702.50</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46,932.75</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-15,230.25</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-32.45%</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应付账款</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16,201.31</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24,645.55</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-8,444.24</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-34.26%</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应交税费</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2,984.62</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2,258.24</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726.38</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32.17%</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一年内到期的非流动负债</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37,748.80</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23,612.67</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14,136.13</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59.87%</w:t>
            </w:r>
          </w:p>
        </w:tc>
      </w:tr>
      <w:tr w:rsidR="00380CDC">
        <w:trPr>
          <w:trHeight w:val="454"/>
          <w:jc w:val="center"/>
        </w:trPr>
        <w:tc>
          <w:tcPr>
            <w:tcW w:w="298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rPr>
                <w:rFonts w:ascii="Times New Roman" w:eastAsia="宋体" w:hAnsi="Times New Roman" w:cs="Times New Roman"/>
                <w:color w:val="000000"/>
                <w:szCs w:val="21"/>
              </w:rPr>
            </w:pPr>
            <w:r>
              <w:rPr>
                <w:rFonts w:ascii="Times New Roman" w:eastAsia="宋体" w:hAnsi="Times New Roman" w:cs="Times New Roman"/>
                <w:color w:val="000000"/>
                <w:szCs w:val="21"/>
              </w:rPr>
              <w:t>租赁负债</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1,170.53</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292.81</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877.72</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jc w:val="right"/>
              <w:rPr>
                <w:rFonts w:ascii="Times New Roman" w:eastAsia="宋体" w:hAnsi="Times New Roman" w:cs="Times New Roman"/>
                <w:szCs w:val="21"/>
              </w:rPr>
            </w:pPr>
            <w:r w:rsidRPr="00E47BB4">
              <w:rPr>
                <w:rFonts w:ascii="Times New Roman" w:eastAsia="宋体" w:hAnsi="Times New Roman" w:cs="Times New Roman"/>
                <w:szCs w:val="21"/>
              </w:rPr>
              <w:t>299.76%</w:t>
            </w:r>
          </w:p>
        </w:tc>
      </w:tr>
    </w:tbl>
    <w:p w:rsidR="00380CDC" w:rsidRDefault="00071FC2">
      <w:pPr>
        <w:spacing w:beforeLines="50" w:before="156"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lastRenderedPageBreak/>
        <w:t>（</w:t>
      </w:r>
      <w:r>
        <w:rPr>
          <w:rFonts w:ascii="Times New Roman" w:eastAsia="宋体" w:hAnsi="Times New Roman" w:cs="Times New Roman"/>
          <w:sz w:val="24"/>
          <w:szCs w:val="24"/>
        </w:rPr>
        <w:t>1</w:t>
      </w:r>
      <w:r>
        <w:rPr>
          <w:rFonts w:ascii="Times New Roman" w:eastAsia="宋体" w:hAnsi="Times New Roman" w:cs="Times New Roman"/>
          <w:sz w:val="24"/>
          <w:szCs w:val="24"/>
        </w:rPr>
        <w:t>）衍生金融资产期末</w:t>
      </w:r>
      <w:r>
        <w:rPr>
          <w:rFonts w:ascii="Times New Roman" w:eastAsia="宋体" w:hAnsi="Times New Roman" w:cs="Times New Roman"/>
          <w:sz w:val="24"/>
          <w:szCs w:val="24"/>
        </w:rPr>
        <w:t>79.28</w:t>
      </w:r>
      <w:r>
        <w:rPr>
          <w:rFonts w:ascii="Times New Roman" w:eastAsia="宋体" w:hAnsi="Times New Roman" w:cs="Times New Roman"/>
          <w:sz w:val="24"/>
          <w:szCs w:val="24"/>
        </w:rPr>
        <w:t>万元，衍生金融负债期初</w:t>
      </w:r>
      <w:r>
        <w:rPr>
          <w:rFonts w:ascii="Times New Roman" w:eastAsia="宋体" w:hAnsi="Times New Roman" w:cs="Times New Roman"/>
          <w:sz w:val="24"/>
          <w:szCs w:val="24"/>
        </w:rPr>
        <w:t>143.54</w:t>
      </w:r>
      <w:r>
        <w:rPr>
          <w:rFonts w:ascii="Times New Roman" w:eastAsia="宋体" w:hAnsi="Times New Roman" w:cs="Times New Roman"/>
          <w:sz w:val="24"/>
          <w:szCs w:val="24"/>
        </w:rPr>
        <w:t>万元，系外币融资借款锁汇汇率波动所致。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2</w:t>
      </w:r>
      <w:r>
        <w:rPr>
          <w:rFonts w:ascii="Times New Roman" w:eastAsia="宋体" w:hAnsi="Times New Roman" w:cs="Times New Roman"/>
          <w:sz w:val="24"/>
          <w:szCs w:val="24"/>
        </w:rPr>
        <w:t>）应收票据期末数较年初数减少</w:t>
      </w:r>
      <w:r>
        <w:rPr>
          <w:rFonts w:ascii="Times New Roman" w:eastAsia="宋体" w:hAnsi="Times New Roman" w:cs="Times New Roman"/>
          <w:sz w:val="24"/>
          <w:szCs w:val="24"/>
        </w:rPr>
        <w:t>4,126.26</w:t>
      </w:r>
      <w:r>
        <w:rPr>
          <w:rFonts w:ascii="Times New Roman" w:eastAsia="宋体" w:hAnsi="Times New Roman" w:cs="Times New Roman"/>
          <w:sz w:val="24"/>
          <w:szCs w:val="24"/>
        </w:rPr>
        <w:t>万元，下降</w:t>
      </w:r>
      <w:r>
        <w:rPr>
          <w:rFonts w:ascii="Times New Roman" w:eastAsia="宋体" w:hAnsi="Times New Roman" w:cs="Times New Roman"/>
          <w:sz w:val="24"/>
          <w:szCs w:val="24"/>
        </w:rPr>
        <w:t>95.26%</w:t>
      </w:r>
      <w:r>
        <w:rPr>
          <w:rFonts w:ascii="Times New Roman" w:eastAsia="宋体" w:hAnsi="Times New Roman" w:cs="Times New Roman"/>
          <w:sz w:val="24"/>
          <w:szCs w:val="24"/>
        </w:rPr>
        <w:t>，系商业承兑汇票到期收款所致。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3</w:t>
      </w:r>
      <w:r>
        <w:rPr>
          <w:rFonts w:ascii="Times New Roman" w:eastAsia="宋体" w:hAnsi="Times New Roman" w:cs="Times New Roman"/>
          <w:sz w:val="24"/>
          <w:szCs w:val="24"/>
        </w:rPr>
        <w:t>）应收账款期末数较年初数增加</w:t>
      </w:r>
      <w:r>
        <w:rPr>
          <w:rFonts w:ascii="Times New Roman" w:eastAsia="宋体" w:hAnsi="Times New Roman" w:cs="Times New Roman"/>
          <w:sz w:val="24"/>
          <w:szCs w:val="24"/>
        </w:rPr>
        <w:t>40,192.90</w:t>
      </w:r>
      <w:r>
        <w:rPr>
          <w:rFonts w:ascii="Times New Roman" w:eastAsia="宋体" w:hAnsi="Times New Roman" w:cs="Times New Roman"/>
          <w:sz w:val="24"/>
          <w:szCs w:val="24"/>
        </w:rPr>
        <w:t>万元，增幅</w:t>
      </w:r>
      <w:r>
        <w:rPr>
          <w:rFonts w:ascii="Times New Roman" w:eastAsia="宋体" w:hAnsi="Times New Roman" w:cs="Times New Roman"/>
          <w:sz w:val="24"/>
          <w:szCs w:val="24"/>
        </w:rPr>
        <w:t>106.25%</w:t>
      </w:r>
      <w:r>
        <w:rPr>
          <w:rFonts w:ascii="Times New Roman" w:eastAsia="宋体" w:hAnsi="Times New Roman" w:cs="Times New Roman"/>
          <w:sz w:val="24"/>
          <w:szCs w:val="24"/>
        </w:rPr>
        <w:t>，</w:t>
      </w:r>
      <w:r>
        <w:rPr>
          <w:rFonts w:ascii="Times New Roman" w:eastAsia="宋体" w:hAnsi="Times New Roman" w:cs="Times New Roman" w:hint="eastAsia"/>
          <w:sz w:val="24"/>
          <w:szCs w:val="24"/>
        </w:rPr>
        <w:t>系公司依据与客户的交易惯例，享有期间信用额度并须于年末清账的客户自年初至报告期末交易额累积增加所致。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4</w:t>
      </w:r>
      <w:r>
        <w:rPr>
          <w:rFonts w:ascii="Times New Roman" w:eastAsia="宋体" w:hAnsi="Times New Roman" w:cs="Times New Roman"/>
          <w:sz w:val="24"/>
          <w:szCs w:val="24"/>
        </w:rPr>
        <w:t>）应收款项融资期末数较年初数减少</w:t>
      </w:r>
      <w:r>
        <w:rPr>
          <w:rFonts w:ascii="Times New Roman" w:eastAsia="宋体" w:hAnsi="Times New Roman" w:cs="Times New Roman"/>
          <w:sz w:val="24"/>
          <w:szCs w:val="24"/>
        </w:rPr>
        <w:t>13,531.67</w:t>
      </w:r>
      <w:r>
        <w:rPr>
          <w:rFonts w:ascii="Times New Roman" w:eastAsia="宋体" w:hAnsi="Times New Roman" w:cs="Times New Roman"/>
          <w:sz w:val="24"/>
          <w:szCs w:val="24"/>
        </w:rPr>
        <w:t>万元，下降</w:t>
      </w:r>
      <w:r>
        <w:rPr>
          <w:rFonts w:ascii="Times New Roman" w:eastAsia="宋体" w:hAnsi="Times New Roman" w:cs="Times New Roman"/>
          <w:sz w:val="24"/>
          <w:szCs w:val="24"/>
        </w:rPr>
        <w:t>42.89%</w:t>
      </w:r>
      <w:r>
        <w:rPr>
          <w:rFonts w:ascii="Times New Roman" w:eastAsia="宋体" w:hAnsi="Times New Roman" w:cs="Times New Roman"/>
          <w:sz w:val="24"/>
          <w:szCs w:val="24"/>
        </w:rPr>
        <w:t>，系根据经营需要，增加票据贴现及付货款所致。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5</w:t>
      </w:r>
      <w:r>
        <w:rPr>
          <w:rFonts w:ascii="Times New Roman" w:eastAsia="宋体" w:hAnsi="Times New Roman" w:cs="Times New Roman"/>
          <w:sz w:val="24"/>
          <w:szCs w:val="24"/>
        </w:rPr>
        <w:t>）预付款项期末数较年初数增加</w:t>
      </w:r>
      <w:r>
        <w:rPr>
          <w:rFonts w:ascii="Times New Roman" w:eastAsia="宋体" w:hAnsi="Times New Roman" w:cs="Times New Roman"/>
          <w:sz w:val="24"/>
          <w:szCs w:val="24"/>
        </w:rPr>
        <w:t>897.00</w:t>
      </w:r>
      <w:r>
        <w:rPr>
          <w:rFonts w:ascii="Times New Roman" w:eastAsia="宋体" w:hAnsi="Times New Roman" w:cs="Times New Roman"/>
          <w:sz w:val="24"/>
          <w:szCs w:val="24"/>
        </w:rPr>
        <w:t>万元，增幅</w:t>
      </w:r>
      <w:r>
        <w:rPr>
          <w:rFonts w:ascii="Times New Roman" w:eastAsia="宋体" w:hAnsi="Times New Roman" w:cs="Times New Roman"/>
          <w:sz w:val="24"/>
          <w:szCs w:val="24"/>
        </w:rPr>
        <w:t>51.84%</w:t>
      </w:r>
      <w:r>
        <w:rPr>
          <w:rFonts w:ascii="Times New Roman" w:eastAsia="宋体" w:hAnsi="Times New Roman" w:cs="Times New Roman"/>
          <w:sz w:val="24"/>
          <w:szCs w:val="24"/>
        </w:rPr>
        <w:t>，主要系预付供应商货款所致。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6</w:t>
      </w:r>
      <w:r>
        <w:rPr>
          <w:rFonts w:ascii="Times New Roman" w:eastAsia="宋体" w:hAnsi="Times New Roman" w:cs="Times New Roman"/>
          <w:sz w:val="24"/>
          <w:szCs w:val="24"/>
        </w:rPr>
        <w:t>）其他应收款期末数较年初数增加</w:t>
      </w:r>
      <w:r>
        <w:rPr>
          <w:rFonts w:ascii="Times New Roman" w:eastAsia="宋体" w:hAnsi="Times New Roman" w:cs="Times New Roman"/>
          <w:sz w:val="24"/>
          <w:szCs w:val="24"/>
        </w:rPr>
        <w:t>89.53</w:t>
      </w:r>
      <w:r>
        <w:rPr>
          <w:rFonts w:ascii="Times New Roman" w:eastAsia="宋体" w:hAnsi="Times New Roman" w:cs="Times New Roman"/>
          <w:sz w:val="24"/>
          <w:szCs w:val="24"/>
        </w:rPr>
        <w:t>万元，增幅</w:t>
      </w:r>
      <w:r>
        <w:rPr>
          <w:rFonts w:ascii="Times New Roman" w:eastAsia="宋体" w:hAnsi="Times New Roman" w:cs="Times New Roman"/>
          <w:sz w:val="24"/>
          <w:szCs w:val="24"/>
        </w:rPr>
        <w:t>37.66%</w:t>
      </w:r>
      <w:r>
        <w:rPr>
          <w:rFonts w:ascii="Times New Roman" w:eastAsia="宋体" w:hAnsi="Times New Roman" w:cs="Times New Roman"/>
          <w:sz w:val="24"/>
          <w:szCs w:val="24"/>
        </w:rPr>
        <w:t>，主要系租房保证金及职工公务借款增加所致。</w:t>
      </w:r>
      <w:bookmarkStart w:id="4" w:name="_GoBack"/>
      <w:bookmarkEnd w:id="4"/>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7</w:t>
      </w:r>
      <w:r>
        <w:rPr>
          <w:rFonts w:ascii="Times New Roman" w:eastAsia="宋体" w:hAnsi="Times New Roman" w:cs="Times New Roman"/>
          <w:sz w:val="24"/>
          <w:szCs w:val="24"/>
        </w:rPr>
        <w:t>）其他流动资产期末数较年初数减少</w:t>
      </w:r>
      <w:r>
        <w:rPr>
          <w:rFonts w:ascii="Times New Roman" w:eastAsia="宋体" w:hAnsi="Times New Roman" w:cs="Times New Roman"/>
          <w:sz w:val="24"/>
          <w:szCs w:val="24"/>
        </w:rPr>
        <w:t>2,377.96</w:t>
      </w:r>
      <w:r>
        <w:rPr>
          <w:rFonts w:ascii="Times New Roman" w:eastAsia="宋体" w:hAnsi="Times New Roman" w:cs="Times New Roman"/>
          <w:sz w:val="24"/>
          <w:szCs w:val="24"/>
        </w:rPr>
        <w:t>万元，下降</w:t>
      </w:r>
      <w:r>
        <w:rPr>
          <w:rFonts w:ascii="Times New Roman" w:eastAsia="宋体" w:hAnsi="Times New Roman" w:cs="Times New Roman"/>
          <w:sz w:val="24"/>
          <w:szCs w:val="24"/>
        </w:rPr>
        <w:t>93.24%</w:t>
      </w:r>
      <w:r>
        <w:rPr>
          <w:rFonts w:ascii="Times New Roman" w:eastAsia="宋体" w:hAnsi="Times New Roman" w:cs="Times New Roman"/>
          <w:sz w:val="24"/>
          <w:szCs w:val="24"/>
        </w:rPr>
        <w:t>，系年初待认证进项税在报告期进行认证抵扣所致。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8</w:t>
      </w:r>
      <w:r>
        <w:rPr>
          <w:rFonts w:ascii="Times New Roman" w:eastAsia="宋体" w:hAnsi="Times New Roman" w:cs="Times New Roman"/>
          <w:sz w:val="24"/>
          <w:szCs w:val="24"/>
        </w:rPr>
        <w:t>）使用权资产期末数较年初数增加</w:t>
      </w:r>
      <w:r>
        <w:rPr>
          <w:rFonts w:ascii="Times New Roman" w:eastAsia="宋体" w:hAnsi="Times New Roman" w:cs="Times New Roman"/>
          <w:sz w:val="24"/>
          <w:szCs w:val="24"/>
        </w:rPr>
        <w:t>812.13</w:t>
      </w:r>
      <w:r>
        <w:rPr>
          <w:rFonts w:ascii="Times New Roman" w:eastAsia="宋体" w:hAnsi="Times New Roman" w:cs="Times New Roman"/>
          <w:sz w:val="24"/>
          <w:szCs w:val="24"/>
        </w:rPr>
        <w:t>万元，增幅</w:t>
      </w:r>
      <w:r>
        <w:rPr>
          <w:rFonts w:ascii="Times New Roman" w:eastAsia="宋体" w:hAnsi="Times New Roman" w:cs="Times New Roman"/>
          <w:sz w:val="24"/>
          <w:szCs w:val="24"/>
        </w:rPr>
        <w:t>151.87%</w:t>
      </w:r>
      <w:r>
        <w:rPr>
          <w:rFonts w:ascii="Times New Roman" w:eastAsia="宋体" w:hAnsi="Times New Roman" w:cs="Times New Roman"/>
          <w:sz w:val="24"/>
          <w:szCs w:val="24"/>
        </w:rPr>
        <w:t>；租赁负债期末数较年初数增加</w:t>
      </w:r>
      <w:r>
        <w:rPr>
          <w:rFonts w:ascii="Times New Roman" w:eastAsia="宋体" w:hAnsi="Times New Roman" w:cs="Times New Roman"/>
          <w:sz w:val="24"/>
          <w:szCs w:val="24"/>
        </w:rPr>
        <w:t>877.72</w:t>
      </w:r>
      <w:r>
        <w:rPr>
          <w:rFonts w:ascii="Times New Roman" w:eastAsia="宋体" w:hAnsi="Times New Roman" w:cs="Times New Roman"/>
          <w:sz w:val="24"/>
          <w:szCs w:val="24"/>
        </w:rPr>
        <w:t>万元，增幅</w:t>
      </w:r>
      <w:r>
        <w:rPr>
          <w:rFonts w:ascii="Times New Roman" w:eastAsia="宋体" w:hAnsi="Times New Roman" w:cs="Times New Roman"/>
          <w:sz w:val="24"/>
          <w:szCs w:val="24"/>
        </w:rPr>
        <w:t>299.76%</w:t>
      </w:r>
      <w:r>
        <w:rPr>
          <w:rFonts w:ascii="Times New Roman" w:eastAsia="宋体" w:hAnsi="Times New Roman" w:cs="Times New Roman"/>
          <w:sz w:val="24"/>
          <w:szCs w:val="24"/>
        </w:rPr>
        <w:t>，系根据经营需求，增加职工宿舍及厂房租赁所致。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9</w:t>
      </w:r>
      <w:r>
        <w:rPr>
          <w:rFonts w:ascii="Times New Roman" w:eastAsia="宋体" w:hAnsi="Times New Roman" w:cs="Times New Roman"/>
          <w:sz w:val="24"/>
          <w:szCs w:val="24"/>
        </w:rPr>
        <w:t>）应付票据期末数较年初数减少</w:t>
      </w:r>
      <w:r>
        <w:rPr>
          <w:rFonts w:ascii="Times New Roman" w:eastAsia="宋体" w:hAnsi="Times New Roman" w:cs="Times New Roman"/>
          <w:sz w:val="24"/>
          <w:szCs w:val="24"/>
        </w:rPr>
        <w:t>15,230.25</w:t>
      </w:r>
      <w:r>
        <w:rPr>
          <w:rFonts w:ascii="Times New Roman" w:eastAsia="宋体" w:hAnsi="Times New Roman" w:cs="Times New Roman"/>
          <w:sz w:val="24"/>
          <w:szCs w:val="24"/>
        </w:rPr>
        <w:t>万元，下降</w:t>
      </w:r>
      <w:r>
        <w:rPr>
          <w:rFonts w:ascii="Times New Roman" w:eastAsia="宋体" w:hAnsi="Times New Roman" w:cs="Times New Roman"/>
          <w:sz w:val="24"/>
          <w:szCs w:val="24"/>
        </w:rPr>
        <w:t>32.45%</w:t>
      </w:r>
      <w:r>
        <w:rPr>
          <w:rFonts w:ascii="Times New Roman" w:eastAsia="宋体" w:hAnsi="Times New Roman" w:cs="Times New Roman"/>
          <w:sz w:val="24"/>
          <w:szCs w:val="24"/>
        </w:rPr>
        <w:t>，系票据到期付款所致。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10</w:t>
      </w:r>
      <w:r>
        <w:rPr>
          <w:rFonts w:ascii="Times New Roman" w:eastAsia="宋体" w:hAnsi="Times New Roman" w:cs="Times New Roman"/>
          <w:sz w:val="24"/>
          <w:szCs w:val="24"/>
        </w:rPr>
        <w:t>）应付账款期末数较年初数减少</w:t>
      </w:r>
      <w:r>
        <w:rPr>
          <w:rFonts w:ascii="Times New Roman" w:eastAsia="宋体" w:hAnsi="Times New Roman" w:cs="Times New Roman"/>
          <w:sz w:val="24"/>
          <w:szCs w:val="24"/>
        </w:rPr>
        <w:t>8,444.24</w:t>
      </w:r>
      <w:r>
        <w:rPr>
          <w:rFonts w:ascii="Times New Roman" w:eastAsia="宋体" w:hAnsi="Times New Roman" w:cs="Times New Roman"/>
          <w:sz w:val="24"/>
          <w:szCs w:val="24"/>
        </w:rPr>
        <w:t>万元，下降</w:t>
      </w:r>
      <w:r>
        <w:rPr>
          <w:rFonts w:ascii="Times New Roman" w:eastAsia="宋体" w:hAnsi="Times New Roman" w:cs="Times New Roman"/>
          <w:sz w:val="24"/>
          <w:szCs w:val="24"/>
        </w:rPr>
        <w:t>34.26%</w:t>
      </w:r>
      <w:r>
        <w:rPr>
          <w:rFonts w:ascii="Times New Roman" w:eastAsia="宋体" w:hAnsi="Times New Roman" w:cs="Times New Roman"/>
          <w:sz w:val="24"/>
          <w:szCs w:val="24"/>
        </w:rPr>
        <w:t>，主要系支付原料及设备采购款所致。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11</w:t>
      </w:r>
      <w:r>
        <w:rPr>
          <w:rFonts w:ascii="Times New Roman" w:eastAsia="宋体" w:hAnsi="Times New Roman" w:cs="Times New Roman"/>
          <w:sz w:val="24"/>
          <w:szCs w:val="24"/>
        </w:rPr>
        <w:t>）应交税费期末数较年初数增加</w:t>
      </w:r>
      <w:r>
        <w:rPr>
          <w:rFonts w:ascii="Times New Roman" w:eastAsia="宋体" w:hAnsi="Times New Roman" w:cs="Times New Roman"/>
          <w:sz w:val="24"/>
          <w:szCs w:val="24"/>
        </w:rPr>
        <w:t>726.38</w:t>
      </w:r>
      <w:r>
        <w:rPr>
          <w:rFonts w:ascii="Times New Roman" w:eastAsia="宋体" w:hAnsi="Times New Roman" w:cs="Times New Roman"/>
          <w:sz w:val="24"/>
          <w:szCs w:val="24"/>
        </w:rPr>
        <w:t>万元，增幅</w:t>
      </w:r>
      <w:r>
        <w:rPr>
          <w:rFonts w:ascii="Times New Roman" w:eastAsia="宋体" w:hAnsi="Times New Roman" w:cs="Times New Roman"/>
          <w:sz w:val="24"/>
          <w:szCs w:val="24"/>
        </w:rPr>
        <w:t>32.17%</w:t>
      </w:r>
      <w:r>
        <w:rPr>
          <w:rFonts w:ascii="Times New Roman" w:eastAsia="宋体" w:hAnsi="Times New Roman" w:cs="Times New Roman"/>
          <w:sz w:val="24"/>
          <w:szCs w:val="24"/>
        </w:rPr>
        <w:t>，主要系应交增值税增加所致。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12</w:t>
      </w:r>
      <w:r>
        <w:rPr>
          <w:rFonts w:ascii="Times New Roman" w:eastAsia="宋体" w:hAnsi="Times New Roman" w:cs="Times New Roman"/>
          <w:sz w:val="24"/>
          <w:szCs w:val="24"/>
        </w:rPr>
        <w:t>）一年内到期的非流动负债期末数较年初数增加</w:t>
      </w:r>
      <w:r>
        <w:rPr>
          <w:rFonts w:ascii="Times New Roman" w:eastAsia="宋体" w:hAnsi="Times New Roman" w:cs="Times New Roman"/>
          <w:sz w:val="24"/>
          <w:szCs w:val="24"/>
        </w:rPr>
        <w:t>14,136.13</w:t>
      </w:r>
      <w:r>
        <w:rPr>
          <w:rFonts w:ascii="Times New Roman" w:eastAsia="宋体" w:hAnsi="Times New Roman" w:cs="Times New Roman"/>
          <w:sz w:val="24"/>
          <w:szCs w:val="24"/>
        </w:rPr>
        <w:t>万元，增幅</w:t>
      </w:r>
      <w:r>
        <w:rPr>
          <w:rFonts w:ascii="Times New Roman" w:eastAsia="宋体" w:hAnsi="Times New Roman" w:cs="Times New Roman"/>
          <w:sz w:val="24"/>
          <w:szCs w:val="24"/>
        </w:rPr>
        <w:t>59.87%</w:t>
      </w:r>
      <w:r>
        <w:rPr>
          <w:rFonts w:ascii="Times New Roman" w:eastAsia="宋体" w:hAnsi="Times New Roman" w:cs="Times New Roman"/>
          <w:sz w:val="24"/>
          <w:szCs w:val="24"/>
        </w:rPr>
        <w:t>，系一年内到期的长期借款重分类所致。</w:t>
      </w:r>
    </w:p>
    <w:p w:rsidR="00380CDC" w:rsidRDefault="00380CDC">
      <w:pPr>
        <w:spacing w:line="360" w:lineRule="auto"/>
        <w:ind w:firstLineChars="200" w:firstLine="480"/>
        <w:jc w:val="both"/>
        <w:rPr>
          <w:rFonts w:ascii="Times New Roman" w:eastAsia="宋体" w:hAnsi="Times New Roman" w:cs="Times New Roman"/>
          <w:sz w:val="24"/>
          <w:szCs w:val="24"/>
        </w:rPr>
      </w:pPr>
    </w:p>
    <w:p w:rsidR="00380CDC" w:rsidRDefault="00380CDC">
      <w:pPr>
        <w:spacing w:line="360" w:lineRule="auto"/>
        <w:ind w:firstLineChars="200" w:firstLine="480"/>
        <w:jc w:val="both"/>
        <w:rPr>
          <w:rFonts w:ascii="Times New Roman" w:eastAsia="宋体" w:hAnsi="Times New Roman" w:cs="Times New Roman"/>
          <w:sz w:val="24"/>
          <w:szCs w:val="24"/>
        </w:rPr>
      </w:pPr>
    </w:p>
    <w:p w:rsidR="00380CDC" w:rsidRDefault="00380CDC">
      <w:pPr>
        <w:spacing w:line="360" w:lineRule="auto"/>
        <w:ind w:firstLineChars="200" w:firstLine="480"/>
        <w:jc w:val="both"/>
        <w:rPr>
          <w:rFonts w:ascii="Times New Roman" w:eastAsia="宋体" w:hAnsi="Times New Roman" w:cs="Times New Roman"/>
          <w:sz w:val="24"/>
          <w:szCs w:val="24"/>
        </w:rPr>
      </w:pPr>
    </w:p>
    <w:p w:rsidR="00380CDC" w:rsidRDefault="00380CDC">
      <w:pPr>
        <w:spacing w:line="360" w:lineRule="auto"/>
        <w:ind w:firstLineChars="200" w:firstLine="480"/>
        <w:jc w:val="both"/>
        <w:rPr>
          <w:rFonts w:ascii="Times New Roman" w:eastAsia="宋体" w:hAnsi="Times New Roman" w:cs="Times New Roman"/>
          <w:sz w:val="24"/>
          <w:szCs w:val="24"/>
        </w:rPr>
      </w:pPr>
    </w:p>
    <w:p w:rsidR="00380CDC" w:rsidRDefault="00380CDC">
      <w:pPr>
        <w:spacing w:line="360" w:lineRule="auto"/>
        <w:ind w:firstLineChars="200" w:firstLine="480"/>
        <w:jc w:val="both"/>
        <w:rPr>
          <w:rFonts w:ascii="Times New Roman" w:eastAsia="宋体" w:hAnsi="Times New Roman" w:cs="Times New Roman"/>
          <w:sz w:val="24"/>
          <w:szCs w:val="24"/>
        </w:rPr>
      </w:pPr>
    </w:p>
    <w:p w:rsidR="00380CDC" w:rsidRDefault="00071FC2">
      <w:pPr>
        <w:spacing w:beforeLines="50" w:before="156" w:afterLines="50" w:after="156"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lastRenderedPageBreak/>
        <w:t xml:space="preserve">2. </w:t>
      </w:r>
      <w:r>
        <w:rPr>
          <w:rFonts w:ascii="Times New Roman" w:eastAsia="宋体" w:hAnsi="Times New Roman" w:cs="Times New Roman"/>
          <w:b/>
          <w:sz w:val="24"/>
          <w:szCs w:val="24"/>
        </w:rPr>
        <w:t>利润表</w:t>
      </w:r>
    </w:p>
    <w:p w:rsidR="00380CDC" w:rsidRDefault="00071FC2">
      <w:pPr>
        <w:spacing w:line="360" w:lineRule="auto"/>
        <w:jc w:val="right"/>
        <w:rPr>
          <w:rFonts w:ascii="Times New Roman" w:eastAsia="宋体" w:hAnsi="Times New Roman" w:cs="Times New Roman"/>
          <w:sz w:val="24"/>
          <w:szCs w:val="24"/>
        </w:rPr>
      </w:pPr>
      <w:r>
        <w:rPr>
          <w:rFonts w:ascii="Times New Roman" w:eastAsia="宋体" w:hAnsi="Times New Roman" w:cs="Times New Roman"/>
          <w:szCs w:val="21"/>
        </w:rPr>
        <w:t>单位：万元</w:t>
      </w:r>
    </w:p>
    <w:tbl>
      <w:tblPr>
        <w:tblW w:w="9516" w:type="dxa"/>
        <w:jc w:val="center"/>
        <w:tblCellMar>
          <w:left w:w="0" w:type="dxa"/>
          <w:right w:w="0" w:type="dxa"/>
        </w:tblCellMar>
        <w:tblLook w:val="04A0" w:firstRow="1" w:lastRow="0" w:firstColumn="1" w:lastColumn="0" w:noHBand="0" w:noVBand="1"/>
      </w:tblPr>
      <w:tblGrid>
        <w:gridCol w:w="3478"/>
        <w:gridCol w:w="1654"/>
        <w:gridCol w:w="1654"/>
        <w:gridCol w:w="1654"/>
        <w:gridCol w:w="1076"/>
      </w:tblGrid>
      <w:tr w:rsidR="00380CDC">
        <w:trPr>
          <w:trHeight w:val="454"/>
          <w:jc w:val="center"/>
        </w:trPr>
        <w:tc>
          <w:tcPr>
            <w:tcW w:w="3478"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项</w:t>
            </w:r>
            <w:r>
              <w:rPr>
                <w:rFonts w:ascii="Times New Roman" w:eastAsia="宋体" w:hAnsi="Times New Roman" w:cs="Times New Roman"/>
                <w:b/>
                <w:bCs/>
                <w:color w:val="000000"/>
                <w:szCs w:val="21"/>
              </w:rPr>
              <w:t xml:space="preserve">  </w:t>
            </w:r>
            <w:r>
              <w:rPr>
                <w:rFonts w:ascii="Times New Roman" w:eastAsia="宋体" w:hAnsi="Times New Roman" w:cs="Times New Roman"/>
                <w:b/>
                <w:bCs/>
                <w:color w:val="000000"/>
                <w:szCs w:val="21"/>
              </w:rPr>
              <w:t>目</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 </w:t>
            </w:r>
            <w:r>
              <w:rPr>
                <w:rFonts w:ascii="Times New Roman" w:eastAsia="宋体" w:hAnsi="Times New Roman" w:cs="Times New Roman"/>
                <w:b/>
                <w:bCs/>
                <w:color w:val="000000"/>
                <w:szCs w:val="21"/>
              </w:rPr>
              <w:t>本年累计</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上年同期数</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变动金额</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增减幅度</w:t>
            </w:r>
          </w:p>
        </w:tc>
      </w:tr>
      <w:tr w:rsidR="00380CDC">
        <w:trPr>
          <w:trHeight w:val="454"/>
          <w:jc w:val="center"/>
        </w:trPr>
        <w:tc>
          <w:tcPr>
            <w:tcW w:w="3478"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营业收入</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118,625.34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87,394.68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31,230.66 </w:t>
            </w:r>
          </w:p>
        </w:tc>
        <w:tc>
          <w:tcPr>
            <w:tcW w:w="10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35.74%</w:t>
            </w:r>
          </w:p>
        </w:tc>
      </w:tr>
      <w:tr w:rsidR="00380CDC">
        <w:trPr>
          <w:trHeight w:val="454"/>
          <w:jc w:val="center"/>
        </w:trPr>
        <w:tc>
          <w:tcPr>
            <w:tcW w:w="3478"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营业成本</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lang w:bidi="ar"/>
              </w:rPr>
              <w:t xml:space="preserve"> 102,260.85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73,181.12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lang w:bidi="ar"/>
              </w:rPr>
              <w:t xml:space="preserve"> 29,079.73 </w:t>
            </w:r>
          </w:p>
        </w:tc>
        <w:tc>
          <w:tcPr>
            <w:tcW w:w="10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39.</w:t>
            </w:r>
            <w:r w:rsidRPr="00E47BB4">
              <w:rPr>
                <w:rFonts w:ascii="Times New Roman" w:eastAsia="宋体" w:hAnsi="Times New Roman" w:cs="Times New Roman" w:hint="eastAsia"/>
                <w:color w:val="000000"/>
                <w:kern w:val="0"/>
                <w:szCs w:val="21"/>
              </w:rPr>
              <w:t>74</w:t>
            </w:r>
            <w:r w:rsidRPr="00E47BB4">
              <w:rPr>
                <w:rFonts w:ascii="Times New Roman" w:eastAsia="宋体" w:hAnsi="Times New Roman" w:cs="Times New Roman"/>
                <w:color w:val="000000"/>
                <w:kern w:val="0"/>
                <w:szCs w:val="21"/>
              </w:rPr>
              <w:t>%</w:t>
            </w:r>
          </w:p>
        </w:tc>
      </w:tr>
      <w:tr w:rsidR="00380CDC">
        <w:trPr>
          <w:trHeight w:val="454"/>
          <w:jc w:val="center"/>
        </w:trPr>
        <w:tc>
          <w:tcPr>
            <w:tcW w:w="3478"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其他收益（损失以</w:t>
            </w:r>
            <w:r>
              <w:rPr>
                <w:rFonts w:ascii="Times New Roman" w:eastAsia="宋体" w:hAnsi="Times New Roman" w:cs="Times New Roman"/>
                <w:color w:val="000000"/>
                <w:szCs w:val="21"/>
              </w:rPr>
              <w:t>“-”</w:t>
            </w:r>
            <w:r>
              <w:rPr>
                <w:rFonts w:ascii="Times New Roman" w:eastAsia="宋体" w:hAnsi="Times New Roman" w:cs="Times New Roman"/>
                <w:color w:val="000000"/>
                <w:szCs w:val="21"/>
              </w:rPr>
              <w:t>号填列）</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1,179.95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851.00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328.95 </w:t>
            </w:r>
          </w:p>
        </w:tc>
        <w:tc>
          <w:tcPr>
            <w:tcW w:w="10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38.65%</w:t>
            </w:r>
          </w:p>
        </w:tc>
      </w:tr>
      <w:tr w:rsidR="00380CDC">
        <w:trPr>
          <w:trHeight w:val="454"/>
          <w:jc w:val="center"/>
        </w:trPr>
        <w:tc>
          <w:tcPr>
            <w:tcW w:w="3478"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投资收益（损失以</w:t>
            </w:r>
            <w:r>
              <w:rPr>
                <w:rFonts w:ascii="Times New Roman" w:eastAsia="宋体" w:hAnsi="Times New Roman" w:cs="Times New Roman"/>
                <w:color w:val="000000"/>
                <w:szCs w:val="21"/>
              </w:rPr>
              <w:t>“-”</w:t>
            </w:r>
            <w:r>
              <w:rPr>
                <w:rFonts w:ascii="Times New Roman" w:eastAsia="宋体" w:hAnsi="Times New Roman" w:cs="Times New Roman"/>
                <w:color w:val="000000"/>
                <w:szCs w:val="21"/>
              </w:rPr>
              <w:t>号填列）</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17.42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116.23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-98.81 </w:t>
            </w:r>
          </w:p>
        </w:tc>
        <w:tc>
          <w:tcPr>
            <w:tcW w:w="10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-85.01%</w:t>
            </w:r>
          </w:p>
        </w:tc>
      </w:tr>
      <w:tr w:rsidR="00380CDC">
        <w:trPr>
          <w:trHeight w:val="454"/>
          <w:jc w:val="center"/>
        </w:trPr>
        <w:tc>
          <w:tcPr>
            <w:tcW w:w="3478"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资产处置收益（损失以</w:t>
            </w:r>
            <w:r>
              <w:rPr>
                <w:rFonts w:ascii="Times New Roman" w:eastAsia="宋体" w:hAnsi="Times New Roman" w:cs="Times New Roman"/>
                <w:color w:val="000000"/>
                <w:szCs w:val="21"/>
              </w:rPr>
              <w:t>“-”</w:t>
            </w:r>
            <w:r>
              <w:rPr>
                <w:rFonts w:ascii="Times New Roman" w:eastAsia="宋体" w:hAnsi="Times New Roman" w:cs="Times New Roman"/>
                <w:color w:val="000000"/>
                <w:szCs w:val="21"/>
              </w:rPr>
              <w:t>号填列）</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rsidP="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hint="eastAsia"/>
                <w:color w:val="000000"/>
                <w:szCs w:val="21"/>
              </w:rPr>
              <w:t>0.00</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7.53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-7.53 </w:t>
            </w:r>
          </w:p>
        </w:tc>
        <w:tc>
          <w:tcPr>
            <w:tcW w:w="10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-100.00%</w:t>
            </w:r>
          </w:p>
        </w:tc>
      </w:tr>
      <w:tr w:rsidR="00380CDC">
        <w:trPr>
          <w:trHeight w:val="454"/>
          <w:jc w:val="center"/>
        </w:trPr>
        <w:tc>
          <w:tcPr>
            <w:tcW w:w="3478"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营业外收入</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32.86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17.09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15.77 </w:t>
            </w:r>
          </w:p>
        </w:tc>
        <w:tc>
          <w:tcPr>
            <w:tcW w:w="10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92.28%</w:t>
            </w:r>
          </w:p>
        </w:tc>
      </w:tr>
      <w:tr w:rsidR="00380CDC">
        <w:trPr>
          <w:trHeight w:val="454"/>
          <w:jc w:val="center"/>
        </w:trPr>
        <w:tc>
          <w:tcPr>
            <w:tcW w:w="3478"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营业外支出</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65.85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46.67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19.18 </w:t>
            </w:r>
          </w:p>
        </w:tc>
        <w:tc>
          <w:tcPr>
            <w:tcW w:w="10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41.10%</w:t>
            </w:r>
          </w:p>
        </w:tc>
      </w:tr>
      <w:tr w:rsidR="00380CDC">
        <w:trPr>
          <w:trHeight w:val="454"/>
          <w:jc w:val="center"/>
        </w:trPr>
        <w:tc>
          <w:tcPr>
            <w:tcW w:w="347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both"/>
              <w:textAlignment w:val="center"/>
              <w:rPr>
                <w:rFonts w:ascii="Times New Roman" w:hAnsi="Times New Roman" w:cs="Times New Roman"/>
                <w:color w:val="000000"/>
                <w:sz w:val="22"/>
              </w:rPr>
            </w:pPr>
            <w:r>
              <w:rPr>
                <w:rFonts w:ascii="Times New Roman" w:eastAsia="宋体" w:hAnsi="Times New Roman" w:cs="Times New Roman"/>
                <w:color w:val="000000"/>
                <w:kern w:val="0"/>
                <w:sz w:val="22"/>
              </w:rPr>
              <w:t>营业利润（亏损以</w:t>
            </w:r>
            <w:r>
              <w:rPr>
                <w:rFonts w:ascii="Times New Roman" w:eastAsia="宋体" w:hAnsi="Times New Roman" w:cs="Times New Roman"/>
                <w:color w:val="000000"/>
                <w:kern w:val="0"/>
                <w:sz w:val="22"/>
              </w:rPr>
              <w:t>“-”</w:t>
            </w:r>
            <w:r>
              <w:rPr>
                <w:rFonts w:ascii="Times New Roman" w:eastAsia="宋体" w:hAnsi="Times New Roman" w:cs="Times New Roman"/>
                <w:color w:val="000000"/>
                <w:kern w:val="0"/>
                <w:sz w:val="22"/>
              </w:rPr>
              <w:t>号填列）</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4,976.64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3,359.10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1,617.54 </w:t>
            </w:r>
          </w:p>
        </w:tc>
        <w:tc>
          <w:tcPr>
            <w:tcW w:w="10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48.15%</w:t>
            </w:r>
          </w:p>
        </w:tc>
      </w:tr>
      <w:tr w:rsidR="00380CDC">
        <w:trPr>
          <w:trHeight w:val="454"/>
          <w:jc w:val="center"/>
        </w:trPr>
        <w:tc>
          <w:tcPr>
            <w:tcW w:w="3478"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利润总额（亏损总额以</w:t>
            </w:r>
            <w:r>
              <w:rPr>
                <w:rFonts w:ascii="Times New Roman" w:eastAsia="宋体" w:hAnsi="Times New Roman" w:cs="Times New Roman"/>
                <w:color w:val="000000"/>
                <w:szCs w:val="21"/>
              </w:rPr>
              <w:t>“-”</w:t>
            </w:r>
            <w:r>
              <w:rPr>
                <w:rFonts w:ascii="Times New Roman" w:eastAsia="宋体" w:hAnsi="Times New Roman" w:cs="Times New Roman"/>
                <w:color w:val="000000"/>
                <w:szCs w:val="21"/>
              </w:rPr>
              <w:t>号填列）</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4,943.65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3,329.52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1,614.13 </w:t>
            </w:r>
          </w:p>
        </w:tc>
        <w:tc>
          <w:tcPr>
            <w:tcW w:w="10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48.48%</w:t>
            </w:r>
          </w:p>
        </w:tc>
      </w:tr>
      <w:tr w:rsidR="00380CDC">
        <w:trPr>
          <w:trHeight w:val="454"/>
          <w:jc w:val="center"/>
        </w:trPr>
        <w:tc>
          <w:tcPr>
            <w:tcW w:w="3478"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净利润（净亏损以</w:t>
            </w:r>
            <w:r>
              <w:rPr>
                <w:rFonts w:ascii="Times New Roman" w:eastAsia="宋体" w:hAnsi="Times New Roman" w:cs="Times New Roman"/>
                <w:color w:val="000000"/>
                <w:szCs w:val="21"/>
              </w:rPr>
              <w:t>“-”</w:t>
            </w:r>
            <w:r>
              <w:rPr>
                <w:rFonts w:ascii="Times New Roman" w:eastAsia="宋体" w:hAnsi="Times New Roman" w:cs="Times New Roman"/>
                <w:color w:val="000000"/>
                <w:szCs w:val="21"/>
              </w:rPr>
              <w:t>号填列）</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4,241.34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2,673.64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1,567.70 </w:t>
            </w:r>
          </w:p>
        </w:tc>
        <w:tc>
          <w:tcPr>
            <w:tcW w:w="10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58.64%</w:t>
            </w:r>
          </w:p>
        </w:tc>
      </w:tr>
      <w:tr w:rsidR="00380CDC">
        <w:trPr>
          <w:trHeight w:val="454"/>
          <w:jc w:val="center"/>
        </w:trPr>
        <w:tc>
          <w:tcPr>
            <w:tcW w:w="3478"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归属于母公司所有者的净利润</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4,256.78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2,720.65 </w:t>
            </w:r>
          </w:p>
        </w:tc>
        <w:tc>
          <w:tcPr>
            <w:tcW w:w="165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 xml:space="preserve"> 1,536.13 </w:t>
            </w:r>
          </w:p>
        </w:tc>
        <w:tc>
          <w:tcPr>
            <w:tcW w:w="107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Pr="00E47BB4" w:rsidRDefault="00071FC2">
            <w:pPr>
              <w:widowControl/>
              <w:jc w:val="right"/>
              <w:textAlignment w:val="center"/>
              <w:rPr>
                <w:rFonts w:ascii="Times New Roman" w:eastAsia="宋体" w:hAnsi="Times New Roman" w:cs="Times New Roman"/>
                <w:color w:val="000000"/>
                <w:szCs w:val="21"/>
              </w:rPr>
            </w:pPr>
            <w:r w:rsidRPr="00E47BB4">
              <w:rPr>
                <w:rFonts w:ascii="Times New Roman" w:eastAsia="宋体" w:hAnsi="Times New Roman" w:cs="Times New Roman"/>
                <w:color w:val="000000"/>
                <w:kern w:val="0"/>
                <w:szCs w:val="21"/>
              </w:rPr>
              <w:t>56.46%</w:t>
            </w:r>
          </w:p>
        </w:tc>
      </w:tr>
    </w:tbl>
    <w:p w:rsidR="00380CDC" w:rsidRDefault="00071FC2">
      <w:pPr>
        <w:spacing w:beforeLines="50" w:before="156"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1</w:t>
      </w:r>
      <w:r>
        <w:rPr>
          <w:rFonts w:ascii="Times New Roman" w:eastAsia="宋体" w:hAnsi="Times New Roman" w:cs="Times New Roman"/>
          <w:sz w:val="24"/>
          <w:szCs w:val="24"/>
        </w:rPr>
        <w:t>）营业收入本期较上年同期增加</w:t>
      </w:r>
      <w:r>
        <w:rPr>
          <w:rFonts w:ascii="Times New Roman" w:eastAsia="宋体" w:hAnsi="Times New Roman" w:cs="Times New Roman"/>
          <w:sz w:val="24"/>
          <w:szCs w:val="24"/>
        </w:rPr>
        <w:t>31,230.66</w:t>
      </w:r>
      <w:r>
        <w:rPr>
          <w:rFonts w:ascii="Times New Roman" w:eastAsia="宋体" w:hAnsi="Times New Roman" w:cs="Times New Roman"/>
          <w:sz w:val="24"/>
          <w:szCs w:val="24"/>
        </w:rPr>
        <w:t>万元，增幅</w:t>
      </w:r>
      <w:r>
        <w:rPr>
          <w:rFonts w:ascii="Times New Roman" w:eastAsia="宋体" w:hAnsi="Times New Roman" w:cs="Times New Roman"/>
          <w:sz w:val="24"/>
          <w:szCs w:val="24"/>
        </w:rPr>
        <w:t>35.74%</w:t>
      </w:r>
      <w:r>
        <w:rPr>
          <w:rFonts w:ascii="Times New Roman" w:eastAsia="宋体" w:hAnsi="Times New Roman" w:cs="Times New Roman"/>
          <w:sz w:val="24"/>
          <w:szCs w:val="24"/>
        </w:rPr>
        <w:t>，主要系产品销量及售价同比增长所致。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2</w:t>
      </w:r>
      <w:r>
        <w:rPr>
          <w:rFonts w:ascii="Times New Roman" w:eastAsia="宋体" w:hAnsi="Times New Roman" w:cs="Times New Roman"/>
          <w:sz w:val="24"/>
          <w:szCs w:val="24"/>
        </w:rPr>
        <w:t>）营业成本本期较上年同期增加</w:t>
      </w:r>
      <w:r>
        <w:rPr>
          <w:rFonts w:ascii="Times New Roman" w:eastAsia="宋体" w:hAnsi="Times New Roman" w:cs="Times New Roman" w:hint="eastAsia"/>
          <w:sz w:val="24"/>
          <w:szCs w:val="24"/>
        </w:rPr>
        <w:t>29,079.73</w:t>
      </w:r>
      <w:r>
        <w:rPr>
          <w:rFonts w:ascii="Times New Roman" w:eastAsia="宋体" w:hAnsi="Times New Roman" w:cs="Times New Roman"/>
          <w:sz w:val="24"/>
          <w:szCs w:val="24"/>
        </w:rPr>
        <w:t>万元，增幅</w:t>
      </w:r>
      <w:r>
        <w:rPr>
          <w:rFonts w:ascii="Times New Roman" w:eastAsia="宋体" w:hAnsi="Times New Roman" w:cs="Times New Roman" w:hint="eastAsia"/>
          <w:sz w:val="24"/>
          <w:szCs w:val="24"/>
        </w:rPr>
        <w:t>39.74</w:t>
      </w:r>
      <w:r>
        <w:rPr>
          <w:rFonts w:ascii="Times New Roman" w:eastAsia="宋体" w:hAnsi="Times New Roman" w:cs="Times New Roman"/>
          <w:sz w:val="24"/>
          <w:szCs w:val="24"/>
        </w:rPr>
        <w:t>%</w:t>
      </w:r>
      <w:r>
        <w:rPr>
          <w:rFonts w:ascii="Times New Roman" w:eastAsia="宋体" w:hAnsi="Times New Roman" w:cs="Times New Roman"/>
          <w:sz w:val="24"/>
          <w:szCs w:val="24"/>
        </w:rPr>
        <w:t>，主要系产品销量增加所致。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3</w:t>
      </w:r>
      <w:r>
        <w:rPr>
          <w:rFonts w:ascii="Times New Roman" w:eastAsia="宋体" w:hAnsi="Times New Roman" w:cs="Times New Roman"/>
          <w:sz w:val="24"/>
          <w:szCs w:val="24"/>
        </w:rPr>
        <w:t>）其他收益本期较上年同期增加</w:t>
      </w:r>
      <w:r>
        <w:rPr>
          <w:rFonts w:ascii="Times New Roman" w:eastAsia="宋体" w:hAnsi="Times New Roman" w:cs="Times New Roman"/>
          <w:sz w:val="24"/>
          <w:szCs w:val="24"/>
        </w:rPr>
        <w:t>328.95</w:t>
      </w:r>
      <w:r>
        <w:rPr>
          <w:rFonts w:ascii="Times New Roman" w:eastAsia="宋体" w:hAnsi="Times New Roman" w:cs="Times New Roman"/>
          <w:sz w:val="24"/>
          <w:szCs w:val="24"/>
        </w:rPr>
        <w:t>万元，增幅</w:t>
      </w:r>
      <w:r>
        <w:rPr>
          <w:rFonts w:ascii="Times New Roman" w:eastAsia="宋体" w:hAnsi="Times New Roman" w:cs="Times New Roman"/>
          <w:sz w:val="24"/>
          <w:szCs w:val="24"/>
        </w:rPr>
        <w:t>38.65%</w:t>
      </w:r>
      <w:r>
        <w:rPr>
          <w:rFonts w:ascii="Times New Roman" w:eastAsia="宋体" w:hAnsi="Times New Roman" w:cs="Times New Roman"/>
          <w:sz w:val="24"/>
          <w:szCs w:val="24"/>
        </w:rPr>
        <w:t>，主要系享受先进制造业企业增值税进项税</w:t>
      </w:r>
      <w:r>
        <w:rPr>
          <w:rFonts w:ascii="Times New Roman" w:eastAsia="宋体" w:hAnsi="Times New Roman" w:cs="Times New Roman"/>
          <w:sz w:val="24"/>
          <w:szCs w:val="24"/>
        </w:rPr>
        <w:t>5%</w:t>
      </w:r>
      <w:r>
        <w:rPr>
          <w:rFonts w:ascii="Times New Roman" w:eastAsia="宋体" w:hAnsi="Times New Roman" w:cs="Times New Roman"/>
          <w:sz w:val="24"/>
          <w:szCs w:val="24"/>
        </w:rPr>
        <w:t>加计抵减所致。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4</w:t>
      </w:r>
      <w:r>
        <w:rPr>
          <w:rFonts w:ascii="Times New Roman" w:eastAsia="宋体" w:hAnsi="Times New Roman" w:cs="Times New Roman"/>
          <w:sz w:val="24"/>
          <w:szCs w:val="24"/>
        </w:rPr>
        <w:t>）投资收益本期较上年同期减少</w:t>
      </w:r>
      <w:r>
        <w:rPr>
          <w:rFonts w:ascii="Times New Roman" w:eastAsia="宋体" w:hAnsi="Times New Roman" w:cs="Times New Roman"/>
          <w:sz w:val="24"/>
          <w:szCs w:val="24"/>
        </w:rPr>
        <w:t>98.81</w:t>
      </w:r>
      <w:r>
        <w:rPr>
          <w:rFonts w:ascii="Times New Roman" w:eastAsia="宋体" w:hAnsi="Times New Roman" w:cs="Times New Roman"/>
          <w:sz w:val="24"/>
          <w:szCs w:val="24"/>
        </w:rPr>
        <w:t>万元，下降</w:t>
      </w:r>
      <w:r>
        <w:rPr>
          <w:rFonts w:ascii="Times New Roman" w:eastAsia="宋体" w:hAnsi="Times New Roman" w:cs="Times New Roman"/>
          <w:sz w:val="24"/>
          <w:szCs w:val="24"/>
        </w:rPr>
        <w:t>85.01%</w:t>
      </w:r>
      <w:r>
        <w:rPr>
          <w:rFonts w:ascii="Times New Roman" w:eastAsia="宋体" w:hAnsi="Times New Roman" w:cs="Times New Roman"/>
          <w:sz w:val="24"/>
          <w:szCs w:val="24"/>
        </w:rPr>
        <w:t>，主要系应收款项融资贴现利息同比增加所致。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5</w:t>
      </w:r>
      <w:r>
        <w:rPr>
          <w:rFonts w:ascii="Times New Roman" w:eastAsia="宋体" w:hAnsi="Times New Roman" w:cs="Times New Roman"/>
          <w:sz w:val="24"/>
          <w:szCs w:val="24"/>
        </w:rPr>
        <w:t>）资产处置收益本期无发生额，报告期内未出售固定资产获取收益。</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6</w:t>
      </w:r>
      <w:r>
        <w:rPr>
          <w:rFonts w:ascii="Times New Roman" w:eastAsia="宋体" w:hAnsi="Times New Roman" w:cs="Times New Roman"/>
          <w:sz w:val="24"/>
          <w:szCs w:val="24"/>
        </w:rPr>
        <w:t>）营业外收入本期较上年同期增加</w:t>
      </w:r>
      <w:r>
        <w:rPr>
          <w:rFonts w:ascii="Times New Roman" w:eastAsia="宋体" w:hAnsi="Times New Roman" w:cs="Times New Roman"/>
          <w:sz w:val="24"/>
          <w:szCs w:val="24"/>
        </w:rPr>
        <w:t>15.77</w:t>
      </w:r>
      <w:r>
        <w:rPr>
          <w:rFonts w:ascii="Times New Roman" w:eastAsia="宋体" w:hAnsi="Times New Roman" w:cs="Times New Roman"/>
          <w:sz w:val="24"/>
          <w:szCs w:val="24"/>
        </w:rPr>
        <w:t>万元，增幅</w:t>
      </w:r>
      <w:r>
        <w:rPr>
          <w:rFonts w:ascii="Times New Roman" w:eastAsia="宋体" w:hAnsi="Times New Roman" w:cs="Times New Roman"/>
          <w:sz w:val="24"/>
          <w:szCs w:val="24"/>
        </w:rPr>
        <w:t>92.28%</w:t>
      </w:r>
      <w:r>
        <w:rPr>
          <w:rFonts w:ascii="Times New Roman" w:eastAsia="宋体" w:hAnsi="Times New Roman" w:cs="Times New Roman"/>
          <w:sz w:val="24"/>
          <w:szCs w:val="24"/>
        </w:rPr>
        <w:t>，主要系收供应商合同违约金所致。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7</w:t>
      </w:r>
      <w:r>
        <w:rPr>
          <w:rFonts w:ascii="Times New Roman" w:eastAsia="宋体" w:hAnsi="Times New Roman" w:cs="Times New Roman"/>
          <w:sz w:val="24"/>
          <w:szCs w:val="24"/>
        </w:rPr>
        <w:t>）营业外支出本期较上年同期增加</w:t>
      </w:r>
      <w:r>
        <w:rPr>
          <w:rFonts w:ascii="Times New Roman" w:eastAsia="宋体" w:hAnsi="Times New Roman" w:cs="Times New Roman"/>
          <w:sz w:val="24"/>
          <w:szCs w:val="24"/>
        </w:rPr>
        <w:t>19.18</w:t>
      </w:r>
      <w:r>
        <w:rPr>
          <w:rFonts w:ascii="Times New Roman" w:eastAsia="宋体" w:hAnsi="Times New Roman" w:cs="Times New Roman"/>
          <w:sz w:val="24"/>
          <w:szCs w:val="24"/>
        </w:rPr>
        <w:t>万元，增幅</w:t>
      </w:r>
      <w:r>
        <w:rPr>
          <w:rFonts w:ascii="Times New Roman" w:eastAsia="宋体" w:hAnsi="Times New Roman" w:cs="Times New Roman"/>
          <w:sz w:val="24"/>
          <w:szCs w:val="24"/>
        </w:rPr>
        <w:t>41.10%</w:t>
      </w:r>
      <w:r>
        <w:rPr>
          <w:rFonts w:ascii="Times New Roman" w:eastAsia="宋体" w:hAnsi="Times New Roman" w:cs="Times New Roman"/>
          <w:sz w:val="24"/>
          <w:szCs w:val="24"/>
        </w:rPr>
        <w:t>，主要系对外捐赠及非流动资产报废损失增加所致。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8</w:t>
      </w:r>
      <w:r>
        <w:rPr>
          <w:rFonts w:ascii="Times New Roman" w:eastAsia="宋体" w:hAnsi="Times New Roman" w:cs="Times New Roman"/>
          <w:sz w:val="24"/>
          <w:szCs w:val="24"/>
        </w:rPr>
        <w:t>）营业利润、利润总额、净利润以及归属于母公司所有者的净利润较上年同期分别增加</w:t>
      </w:r>
      <w:r>
        <w:rPr>
          <w:rFonts w:ascii="Times New Roman" w:eastAsia="宋体" w:hAnsi="Times New Roman" w:cs="Times New Roman"/>
          <w:sz w:val="24"/>
          <w:szCs w:val="24"/>
        </w:rPr>
        <w:t>1,617.54</w:t>
      </w:r>
      <w:r>
        <w:rPr>
          <w:rFonts w:ascii="Times New Roman" w:eastAsia="宋体" w:hAnsi="Times New Roman" w:cs="Times New Roman"/>
          <w:sz w:val="24"/>
          <w:szCs w:val="24"/>
        </w:rPr>
        <w:t>万元、</w:t>
      </w:r>
      <w:r>
        <w:rPr>
          <w:rFonts w:ascii="Times New Roman" w:eastAsia="宋体" w:hAnsi="Times New Roman" w:cs="Times New Roman"/>
          <w:sz w:val="24"/>
          <w:szCs w:val="24"/>
        </w:rPr>
        <w:t>1,614.13</w:t>
      </w:r>
      <w:r>
        <w:rPr>
          <w:rFonts w:ascii="Times New Roman" w:eastAsia="宋体" w:hAnsi="Times New Roman" w:cs="Times New Roman"/>
          <w:sz w:val="24"/>
          <w:szCs w:val="24"/>
        </w:rPr>
        <w:t>万元、</w:t>
      </w:r>
      <w:r>
        <w:rPr>
          <w:rFonts w:ascii="Times New Roman" w:eastAsia="宋体" w:hAnsi="Times New Roman" w:cs="Times New Roman"/>
          <w:sz w:val="24"/>
          <w:szCs w:val="24"/>
        </w:rPr>
        <w:t>1,567.70</w:t>
      </w:r>
      <w:r>
        <w:rPr>
          <w:rFonts w:ascii="Times New Roman" w:eastAsia="宋体" w:hAnsi="Times New Roman" w:cs="Times New Roman"/>
          <w:sz w:val="24"/>
          <w:szCs w:val="24"/>
        </w:rPr>
        <w:t>万元、</w:t>
      </w:r>
      <w:r>
        <w:rPr>
          <w:rFonts w:ascii="Times New Roman" w:eastAsia="宋体" w:hAnsi="Times New Roman" w:cs="Times New Roman"/>
          <w:sz w:val="24"/>
          <w:szCs w:val="24"/>
        </w:rPr>
        <w:t>1,536.13</w:t>
      </w:r>
      <w:r>
        <w:rPr>
          <w:rFonts w:ascii="Times New Roman" w:eastAsia="宋体" w:hAnsi="Times New Roman" w:cs="Times New Roman"/>
          <w:sz w:val="24"/>
          <w:szCs w:val="24"/>
        </w:rPr>
        <w:t>万元，增幅分别达</w:t>
      </w:r>
      <w:r>
        <w:rPr>
          <w:rFonts w:ascii="Times New Roman" w:eastAsia="宋体" w:hAnsi="Times New Roman" w:cs="Times New Roman"/>
          <w:sz w:val="24"/>
          <w:szCs w:val="24"/>
        </w:rPr>
        <w:t>48.15%</w:t>
      </w:r>
      <w:r>
        <w:rPr>
          <w:rFonts w:ascii="Times New Roman" w:eastAsia="宋体" w:hAnsi="Times New Roman" w:cs="Times New Roman"/>
          <w:sz w:val="24"/>
          <w:szCs w:val="24"/>
        </w:rPr>
        <w:t>、</w:t>
      </w:r>
      <w:r>
        <w:rPr>
          <w:rFonts w:ascii="Times New Roman" w:eastAsia="宋体" w:hAnsi="Times New Roman" w:cs="Times New Roman"/>
          <w:sz w:val="24"/>
          <w:szCs w:val="24"/>
        </w:rPr>
        <w:lastRenderedPageBreak/>
        <w:t>48.48%</w:t>
      </w:r>
      <w:r>
        <w:rPr>
          <w:rFonts w:ascii="Times New Roman" w:eastAsia="宋体" w:hAnsi="Times New Roman" w:cs="Times New Roman"/>
          <w:sz w:val="24"/>
          <w:szCs w:val="24"/>
        </w:rPr>
        <w:t>、</w:t>
      </w:r>
      <w:r>
        <w:rPr>
          <w:rFonts w:ascii="Times New Roman" w:eastAsia="宋体" w:hAnsi="Times New Roman" w:cs="Times New Roman"/>
          <w:sz w:val="24"/>
          <w:szCs w:val="24"/>
        </w:rPr>
        <w:t>58.64%</w:t>
      </w:r>
      <w:r>
        <w:rPr>
          <w:rFonts w:ascii="Times New Roman" w:eastAsia="宋体" w:hAnsi="Times New Roman" w:cs="Times New Roman"/>
          <w:sz w:val="24"/>
          <w:szCs w:val="24"/>
        </w:rPr>
        <w:t>、</w:t>
      </w:r>
      <w:r>
        <w:rPr>
          <w:rFonts w:ascii="Times New Roman" w:eastAsia="宋体" w:hAnsi="Times New Roman" w:cs="Times New Roman"/>
          <w:sz w:val="24"/>
          <w:szCs w:val="24"/>
        </w:rPr>
        <w:t>56.46%</w:t>
      </w:r>
      <w:r>
        <w:rPr>
          <w:rFonts w:ascii="Times New Roman" w:eastAsia="宋体" w:hAnsi="Times New Roman" w:cs="Times New Roman"/>
          <w:sz w:val="24"/>
          <w:szCs w:val="24"/>
        </w:rPr>
        <w:t>，主要系报告期销售订单饱满，产品销量有一定增长所致。</w:t>
      </w:r>
    </w:p>
    <w:p w:rsidR="00380CDC" w:rsidRDefault="00071FC2">
      <w:pPr>
        <w:pStyle w:val="ab"/>
        <w:ind w:firstLineChars="200" w:firstLine="482"/>
        <w:rPr>
          <w:rFonts w:ascii="Times New Roman" w:hAnsi="Times New Roman" w:cs="Times New Roman"/>
          <w:b/>
        </w:rPr>
      </w:pPr>
      <w:r>
        <w:rPr>
          <w:rFonts w:ascii="Times New Roman" w:hAnsi="Times New Roman" w:cs="Times New Roman"/>
          <w:b/>
        </w:rPr>
        <w:t xml:space="preserve">3. </w:t>
      </w:r>
      <w:r>
        <w:rPr>
          <w:rFonts w:ascii="Times New Roman" w:hAnsi="Times New Roman" w:cs="Times New Roman"/>
          <w:b/>
        </w:rPr>
        <w:t>现金流量表</w:t>
      </w:r>
    </w:p>
    <w:p w:rsidR="00380CDC" w:rsidRDefault="00071FC2">
      <w:pPr>
        <w:spacing w:line="360" w:lineRule="auto"/>
        <w:jc w:val="right"/>
        <w:rPr>
          <w:rFonts w:ascii="Times New Roman" w:eastAsia="宋体" w:hAnsi="Times New Roman" w:cs="Times New Roman"/>
          <w:sz w:val="24"/>
          <w:szCs w:val="24"/>
        </w:rPr>
      </w:pPr>
      <w:r>
        <w:rPr>
          <w:rFonts w:ascii="Times New Roman" w:eastAsia="宋体" w:hAnsi="Times New Roman" w:cs="Times New Roman"/>
          <w:szCs w:val="21"/>
        </w:rPr>
        <w:t>单位：万元</w:t>
      </w:r>
    </w:p>
    <w:tbl>
      <w:tblPr>
        <w:tblW w:w="9625" w:type="dxa"/>
        <w:jc w:val="center"/>
        <w:tblCellMar>
          <w:left w:w="0" w:type="dxa"/>
          <w:right w:w="0" w:type="dxa"/>
        </w:tblCellMar>
        <w:tblLook w:val="04A0" w:firstRow="1" w:lastRow="0" w:firstColumn="1" w:lastColumn="0" w:noHBand="0" w:noVBand="1"/>
      </w:tblPr>
      <w:tblGrid>
        <w:gridCol w:w="2936"/>
        <w:gridCol w:w="1639"/>
        <w:gridCol w:w="1824"/>
        <w:gridCol w:w="1757"/>
        <w:gridCol w:w="1469"/>
      </w:tblGrid>
      <w:tr w:rsidR="00380CDC">
        <w:trPr>
          <w:trHeight w:val="454"/>
          <w:jc w:val="center"/>
        </w:trPr>
        <w:tc>
          <w:tcPr>
            <w:tcW w:w="293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项</w:t>
            </w:r>
            <w:r>
              <w:rPr>
                <w:rFonts w:ascii="Times New Roman" w:eastAsia="宋体" w:hAnsi="Times New Roman" w:cs="Times New Roman"/>
                <w:b/>
                <w:bCs/>
                <w:color w:val="000000"/>
                <w:szCs w:val="21"/>
              </w:rPr>
              <w:t xml:space="preserve">  </w:t>
            </w:r>
            <w:r>
              <w:rPr>
                <w:rFonts w:ascii="Times New Roman" w:eastAsia="宋体" w:hAnsi="Times New Roman" w:cs="Times New Roman"/>
                <w:b/>
                <w:bCs/>
                <w:color w:val="000000"/>
                <w:szCs w:val="21"/>
              </w:rPr>
              <w:t>目</w:t>
            </w:r>
          </w:p>
        </w:tc>
        <w:tc>
          <w:tcPr>
            <w:tcW w:w="163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 </w:t>
            </w:r>
            <w:r>
              <w:rPr>
                <w:rFonts w:ascii="Times New Roman" w:eastAsia="宋体" w:hAnsi="Times New Roman" w:cs="Times New Roman"/>
                <w:b/>
                <w:bCs/>
                <w:color w:val="000000"/>
                <w:szCs w:val="21"/>
              </w:rPr>
              <w:t>本年累计</w:t>
            </w:r>
          </w:p>
        </w:tc>
        <w:tc>
          <w:tcPr>
            <w:tcW w:w="182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上年同期数</w:t>
            </w:r>
          </w:p>
        </w:tc>
        <w:tc>
          <w:tcPr>
            <w:tcW w:w="175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变动金额</w:t>
            </w:r>
          </w:p>
        </w:tc>
        <w:tc>
          <w:tcPr>
            <w:tcW w:w="146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center"/>
              <w:rPr>
                <w:rFonts w:ascii="Times New Roman" w:eastAsia="宋体" w:hAnsi="Times New Roman" w:cs="Times New Roman"/>
                <w:b/>
                <w:bCs/>
                <w:color w:val="000000"/>
                <w:szCs w:val="21"/>
              </w:rPr>
            </w:pPr>
            <w:r>
              <w:rPr>
                <w:rFonts w:ascii="Times New Roman" w:eastAsia="宋体" w:hAnsi="Times New Roman" w:cs="Times New Roman"/>
                <w:b/>
                <w:bCs/>
                <w:color w:val="000000"/>
                <w:szCs w:val="21"/>
              </w:rPr>
              <w:t>增减幅度</w:t>
            </w:r>
          </w:p>
        </w:tc>
      </w:tr>
      <w:tr w:rsidR="00380CDC">
        <w:trPr>
          <w:trHeight w:val="454"/>
          <w:jc w:val="center"/>
        </w:trPr>
        <w:tc>
          <w:tcPr>
            <w:tcW w:w="293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经营活动现金流入小计</w:t>
            </w:r>
          </w:p>
        </w:tc>
        <w:tc>
          <w:tcPr>
            <w:tcW w:w="163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97,392.95 </w:t>
            </w:r>
          </w:p>
        </w:tc>
        <w:tc>
          <w:tcPr>
            <w:tcW w:w="182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57,705.01 </w:t>
            </w:r>
          </w:p>
        </w:tc>
        <w:tc>
          <w:tcPr>
            <w:tcW w:w="175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39,687.94 </w:t>
            </w:r>
          </w:p>
        </w:tc>
        <w:tc>
          <w:tcPr>
            <w:tcW w:w="146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68.78%</w:t>
            </w:r>
          </w:p>
        </w:tc>
      </w:tr>
      <w:tr w:rsidR="00380CDC">
        <w:trPr>
          <w:trHeight w:val="454"/>
          <w:jc w:val="center"/>
        </w:trPr>
        <w:tc>
          <w:tcPr>
            <w:tcW w:w="293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经营活动现金流出小计</w:t>
            </w:r>
          </w:p>
        </w:tc>
        <w:tc>
          <w:tcPr>
            <w:tcW w:w="163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97,967.20 </w:t>
            </w:r>
          </w:p>
        </w:tc>
        <w:tc>
          <w:tcPr>
            <w:tcW w:w="182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75,290.20 </w:t>
            </w:r>
          </w:p>
        </w:tc>
        <w:tc>
          <w:tcPr>
            <w:tcW w:w="175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22,677.00 </w:t>
            </w:r>
          </w:p>
        </w:tc>
        <w:tc>
          <w:tcPr>
            <w:tcW w:w="146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30.12%</w:t>
            </w:r>
          </w:p>
        </w:tc>
      </w:tr>
      <w:tr w:rsidR="00380CDC">
        <w:trPr>
          <w:trHeight w:val="454"/>
          <w:jc w:val="center"/>
        </w:trPr>
        <w:tc>
          <w:tcPr>
            <w:tcW w:w="293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经营活动产生的现金流量净额</w:t>
            </w:r>
          </w:p>
        </w:tc>
        <w:tc>
          <w:tcPr>
            <w:tcW w:w="163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-574.25 </w:t>
            </w:r>
          </w:p>
        </w:tc>
        <w:tc>
          <w:tcPr>
            <w:tcW w:w="182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-17,585.18 </w:t>
            </w:r>
          </w:p>
        </w:tc>
        <w:tc>
          <w:tcPr>
            <w:tcW w:w="175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17,010.93 </w:t>
            </w:r>
          </w:p>
        </w:tc>
        <w:tc>
          <w:tcPr>
            <w:tcW w:w="146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96.73%</w:t>
            </w:r>
          </w:p>
        </w:tc>
      </w:tr>
      <w:tr w:rsidR="00380CDC">
        <w:trPr>
          <w:trHeight w:val="454"/>
          <w:jc w:val="center"/>
        </w:trPr>
        <w:tc>
          <w:tcPr>
            <w:tcW w:w="293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投资活动现金流入小计</w:t>
            </w:r>
          </w:p>
        </w:tc>
        <w:tc>
          <w:tcPr>
            <w:tcW w:w="163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134.36 </w:t>
            </w:r>
          </w:p>
        </w:tc>
        <w:tc>
          <w:tcPr>
            <w:tcW w:w="182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91.65 </w:t>
            </w:r>
          </w:p>
        </w:tc>
        <w:tc>
          <w:tcPr>
            <w:tcW w:w="175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42.71 </w:t>
            </w:r>
          </w:p>
        </w:tc>
        <w:tc>
          <w:tcPr>
            <w:tcW w:w="146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46.60%</w:t>
            </w:r>
          </w:p>
        </w:tc>
      </w:tr>
      <w:tr w:rsidR="00380CDC">
        <w:trPr>
          <w:trHeight w:val="454"/>
          <w:jc w:val="center"/>
        </w:trPr>
        <w:tc>
          <w:tcPr>
            <w:tcW w:w="29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both"/>
              <w:textAlignment w:val="center"/>
              <w:rPr>
                <w:rFonts w:ascii="Times New Roman" w:eastAsia="宋体" w:hAnsi="Times New Roman" w:cs="Times New Roman"/>
                <w:color w:val="000000"/>
                <w:sz w:val="22"/>
              </w:rPr>
            </w:pPr>
            <w:r>
              <w:rPr>
                <w:rFonts w:ascii="Times New Roman" w:eastAsia="宋体" w:hAnsi="Times New Roman" w:cs="Times New Roman"/>
                <w:color w:val="000000"/>
                <w:kern w:val="0"/>
                <w:sz w:val="22"/>
              </w:rPr>
              <w:t>投资活动现金流出小计</w:t>
            </w:r>
          </w:p>
        </w:tc>
        <w:tc>
          <w:tcPr>
            <w:tcW w:w="163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right"/>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rPr>
              <w:t xml:space="preserve"> 5,638.93 </w:t>
            </w:r>
          </w:p>
        </w:tc>
        <w:tc>
          <w:tcPr>
            <w:tcW w:w="182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right"/>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rPr>
              <w:t xml:space="preserve"> 7,944.37 </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right"/>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rPr>
              <w:t xml:space="preserve"> -2,305.44 </w:t>
            </w:r>
          </w:p>
        </w:tc>
        <w:tc>
          <w:tcPr>
            <w:tcW w:w="146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right"/>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rPr>
              <w:t>-29.02%</w:t>
            </w:r>
          </w:p>
        </w:tc>
      </w:tr>
      <w:tr w:rsidR="00380CDC">
        <w:trPr>
          <w:trHeight w:val="454"/>
          <w:jc w:val="center"/>
        </w:trPr>
        <w:tc>
          <w:tcPr>
            <w:tcW w:w="29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both"/>
              <w:textAlignment w:val="center"/>
              <w:rPr>
                <w:rFonts w:ascii="Times New Roman" w:eastAsia="宋体" w:hAnsi="Times New Roman" w:cs="Times New Roman"/>
                <w:color w:val="000000"/>
                <w:kern w:val="0"/>
                <w:sz w:val="22"/>
              </w:rPr>
            </w:pPr>
            <w:r>
              <w:rPr>
                <w:rFonts w:ascii="Times New Roman" w:eastAsia="宋体" w:hAnsi="Times New Roman" w:cs="Times New Roman"/>
                <w:color w:val="000000"/>
                <w:kern w:val="0"/>
                <w:sz w:val="22"/>
              </w:rPr>
              <w:t>投资活动产生的现金流量净额</w:t>
            </w:r>
          </w:p>
        </w:tc>
        <w:tc>
          <w:tcPr>
            <w:tcW w:w="163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right"/>
              <w:textAlignment w:val="center"/>
              <w:rPr>
                <w:rFonts w:ascii="Times New Roman" w:eastAsia="宋体" w:hAnsi="Times New Roman" w:cs="Times New Roman"/>
                <w:color w:val="000000"/>
                <w:kern w:val="0"/>
                <w:szCs w:val="21"/>
              </w:rPr>
            </w:pPr>
            <w:r>
              <w:rPr>
                <w:rFonts w:ascii="Times New Roman" w:eastAsia="宋体" w:hAnsi="Times New Roman" w:cs="Times New Roman"/>
                <w:color w:val="000000"/>
                <w:kern w:val="0"/>
                <w:szCs w:val="21"/>
              </w:rPr>
              <w:t xml:space="preserve"> -5,504.57 </w:t>
            </w:r>
          </w:p>
        </w:tc>
        <w:tc>
          <w:tcPr>
            <w:tcW w:w="182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right"/>
              <w:textAlignment w:val="center"/>
              <w:rPr>
                <w:rFonts w:ascii="Times New Roman" w:eastAsia="宋体" w:hAnsi="Times New Roman" w:cs="Times New Roman"/>
                <w:color w:val="000000"/>
                <w:kern w:val="0"/>
                <w:szCs w:val="21"/>
              </w:rPr>
            </w:pPr>
            <w:r>
              <w:rPr>
                <w:rFonts w:ascii="Times New Roman" w:eastAsia="宋体" w:hAnsi="Times New Roman" w:cs="Times New Roman"/>
                <w:color w:val="000000"/>
                <w:kern w:val="0"/>
                <w:szCs w:val="21"/>
              </w:rPr>
              <w:t xml:space="preserve"> -7,852.72 </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right"/>
              <w:textAlignment w:val="center"/>
              <w:rPr>
                <w:rFonts w:ascii="Times New Roman" w:eastAsia="宋体" w:hAnsi="Times New Roman" w:cs="Times New Roman"/>
                <w:color w:val="000000"/>
                <w:kern w:val="0"/>
                <w:szCs w:val="21"/>
              </w:rPr>
            </w:pPr>
            <w:r>
              <w:rPr>
                <w:rFonts w:ascii="Times New Roman" w:eastAsia="宋体" w:hAnsi="Times New Roman" w:cs="Times New Roman"/>
                <w:color w:val="000000"/>
                <w:kern w:val="0"/>
                <w:szCs w:val="21"/>
              </w:rPr>
              <w:t xml:space="preserve"> 2,348.15 </w:t>
            </w:r>
          </w:p>
        </w:tc>
        <w:tc>
          <w:tcPr>
            <w:tcW w:w="146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right"/>
              <w:textAlignment w:val="center"/>
              <w:rPr>
                <w:rFonts w:ascii="Times New Roman" w:eastAsia="宋体" w:hAnsi="Times New Roman" w:cs="Times New Roman"/>
                <w:color w:val="000000"/>
                <w:kern w:val="0"/>
                <w:szCs w:val="21"/>
              </w:rPr>
            </w:pPr>
            <w:r>
              <w:rPr>
                <w:rFonts w:ascii="Times New Roman" w:eastAsia="宋体" w:hAnsi="Times New Roman" w:cs="Times New Roman"/>
                <w:color w:val="000000"/>
                <w:kern w:val="0"/>
                <w:szCs w:val="21"/>
              </w:rPr>
              <w:t>29.90%</w:t>
            </w:r>
          </w:p>
        </w:tc>
      </w:tr>
      <w:tr w:rsidR="00380CDC">
        <w:trPr>
          <w:trHeight w:val="454"/>
          <w:jc w:val="center"/>
        </w:trPr>
        <w:tc>
          <w:tcPr>
            <w:tcW w:w="293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筹资活动现金流入小计</w:t>
            </w:r>
          </w:p>
        </w:tc>
        <w:tc>
          <w:tcPr>
            <w:tcW w:w="163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30,246.32 </w:t>
            </w:r>
          </w:p>
        </w:tc>
        <w:tc>
          <w:tcPr>
            <w:tcW w:w="182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75,524.50 </w:t>
            </w:r>
          </w:p>
        </w:tc>
        <w:tc>
          <w:tcPr>
            <w:tcW w:w="175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-45,278.18 </w:t>
            </w:r>
          </w:p>
        </w:tc>
        <w:tc>
          <w:tcPr>
            <w:tcW w:w="146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-59.95%</w:t>
            </w:r>
          </w:p>
        </w:tc>
      </w:tr>
      <w:tr w:rsidR="00380CDC">
        <w:trPr>
          <w:trHeight w:val="454"/>
          <w:jc w:val="center"/>
        </w:trPr>
        <w:tc>
          <w:tcPr>
            <w:tcW w:w="293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筹资活动现金流出小计</w:t>
            </w:r>
          </w:p>
        </w:tc>
        <w:tc>
          <w:tcPr>
            <w:tcW w:w="163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33,834.52 </w:t>
            </w:r>
          </w:p>
        </w:tc>
        <w:tc>
          <w:tcPr>
            <w:tcW w:w="182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66,815.15 </w:t>
            </w:r>
          </w:p>
        </w:tc>
        <w:tc>
          <w:tcPr>
            <w:tcW w:w="175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-32,980.63 </w:t>
            </w:r>
          </w:p>
        </w:tc>
        <w:tc>
          <w:tcPr>
            <w:tcW w:w="146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-49.36%</w:t>
            </w:r>
          </w:p>
        </w:tc>
      </w:tr>
      <w:tr w:rsidR="00380CDC">
        <w:trPr>
          <w:trHeight w:val="454"/>
          <w:jc w:val="center"/>
        </w:trPr>
        <w:tc>
          <w:tcPr>
            <w:tcW w:w="2936"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both"/>
              <w:rPr>
                <w:rFonts w:ascii="Times New Roman" w:eastAsia="宋体" w:hAnsi="Times New Roman" w:cs="Times New Roman"/>
                <w:color w:val="000000"/>
                <w:szCs w:val="21"/>
              </w:rPr>
            </w:pPr>
            <w:r>
              <w:rPr>
                <w:rFonts w:ascii="Times New Roman" w:eastAsia="宋体" w:hAnsi="Times New Roman" w:cs="Times New Roman"/>
                <w:color w:val="000000"/>
                <w:szCs w:val="21"/>
              </w:rPr>
              <w:t>筹资活动产生的现金流量净额</w:t>
            </w:r>
          </w:p>
        </w:tc>
        <w:tc>
          <w:tcPr>
            <w:tcW w:w="163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-3,588.20 </w:t>
            </w:r>
          </w:p>
        </w:tc>
        <w:tc>
          <w:tcPr>
            <w:tcW w:w="1824"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8,709.35 </w:t>
            </w:r>
          </w:p>
        </w:tc>
        <w:tc>
          <w:tcPr>
            <w:tcW w:w="1757"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 -12,297.55 </w:t>
            </w:r>
          </w:p>
        </w:tc>
        <w:tc>
          <w:tcPr>
            <w:tcW w:w="1469"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380CDC" w:rsidRDefault="00071FC2">
            <w:pPr>
              <w:spacing w:line="276" w:lineRule="auto"/>
              <w:jc w:val="right"/>
              <w:rPr>
                <w:rFonts w:ascii="Times New Roman" w:eastAsia="宋体" w:hAnsi="Times New Roman" w:cs="Times New Roman"/>
                <w:color w:val="000000"/>
                <w:szCs w:val="21"/>
              </w:rPr>
            </w:pPr>
            <w:r>
              <w:rPr>
                <w:rFonts w:ascii="Times New Roman" w:eastAsia="宋体" w:hAnsi="Times New Roman" w:cs="Times New Roman"/>
                <w:color w:val="000000"/>
                <w:szCs w:val="21"/>
              </w:rPr>
              <w:t>-141.20%</w:t>
            </w:r>
          </w:p>
        </w:tc>
      </w:tr>
      <w:tr w:rsidR="00380CDC">
        <w:trPr>
          <w:trHeight w:val="454"/>
          <w:jc w:val="center"/>
        </w:trPr>
        <w:tc>
          <w:tcPr>
            <w:tcW w:w="2936"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both"/>
              <w:textAlignment w:val="center"/>
              <w:rPr>
                <w:rFonts w:ascii="Times New Roman" w:eastAsia="宋体" w:hAnsi="Times New Roman" w:cs="Times New Roman"/>
                <w:color w:val="000000"/>
                <w:sz w:val="22"/>
              </w:rPr>
            </w:pPr>
            <w:r>
              <w:rPr>
                <w:rFonts w:ascii="Times New Roman" w:eastAsia="宋体" w:hAnsi="Times New Roman" w:cs="Times New Roman"/>
                <w:color w:val="000000"/>
                <w:kern w:val="0"/>
                <w:sz w:val="22"/>
              </w:rPr>
              <w:t>现金及现金等价物净增加额</w:t>
            </w:r>
          </w:p>
        </w:tc>
        <w:tc>
          <w:tcPr>
            <w:tcW w:w="163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right"/>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rPr>
              <w:t xml:space="preserve"> -9,632.03 </w:t>
            </w:r>
          </w:p>
        </w:tc>
        <w:tc>
          <w:tcPr>
            <w:tcW w:w="182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right"/>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rPr>
              <w:t xml:space="preserve"> -16,697.50 </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right"/>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rPr>
              <w:t xml:space="preserve"> 7,065.47 </w:t>
            </w:r>
          </w:p>
        </w:tc>
        <w:tc>
          <w:tcPr>
            <w:tcW w:w="146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tcPr>
          <w:p w:rsidR="00380CDC" w:rsidRDefault="00071FC2">
            <w:pPr>
              <w:widowControl/>
              <w:jc w:val="right"/>
              <w:textAlignment w:val="center"/>
              <w:rPr>
                <w:rFonts w:ascii="Times New Roman" w:hAnsi="Times New Roman" w:cs="Times New Roman"/>
                <w:color w:val="000000"/>
                <w:szCs w:val="21"/>
              </w:rPr>
            </w:pPr>
            <w:r>
              <w:rPr>
                <w:rFonts w:ascii="Times New Roman" w:eastAsia="宋体" w:hAnsi="Times New Roman" w:cs="Times New Roman"/>
                <w:color w:val="000000"/>
                <w:kern w:val="0"/>
                <w:szCs w:val="21"/>
              </w:rPr>
              <w:t>42.31%</w:t>
            </w:r>
          </w:p>
        </w:tc>
      </w:tr>
    </w:tbl>
    <w:p w:rsidR="00380CDC" w:rsidRDefault="00071FC2">
      <w:pPr>
        <w:spacing w:beforeLines="50" w:before="156"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 </w:t>
      </w:r>
      <w:r>
        <w:rPr>
          <w:rFonts w:ascii="Times New Roman" w:eastAsia="宋体" w:hAnsi="Times New Roman" w:cs="Times New Roman"/>
          <w:sz w:val="24"/>
          <w:szCs w:val="24"/>
        </w:rPr>
        <w:t>（</w:t>
      </w:r>
      <w:r>
        <w:rPr>
          <w:rFonts w:ascii="Times New Roman" w:eastAsia="宋体" w:hAnsi="Times New Roman" w:cs="Times New Roman"/>
          <w:sz w:val="24"/>
          <w:szCs w:val="24"/>
        </w:rPr>
        <w:t>1</w:t>
      </w:r>
      <w:r>
        <w:rPr>
          <w:rFonts w:ascii="Times New Roman" w:eastAsia="宋体" w:hAnsi="Times New Roman" w:cs="Times New Roman"/>
          <w:sz w:val="24"/>
          <w:szCs w:val="24"/>
        </w:rPr>
        <w:t>）经营活动现金流入小计较上年同期增加</w:t>
      </w:r>
      <w:r>
        <w:rPr>
          <w:rFonts w:ascii="Times New Roman" w:eastAsia="宋体" w:hAnsi="Times New Roman" w:cs="Times New Roman"/>
          <w:sz w:val="24"/>
          <w:szCs w:val="24"/>
        </w:rPr>
        <w:t>39,687.94</w:t>
      </w:r>
      <w:r>
        <w:rPr>
          <w:rFonts w:ascii="Times New Roman" w:eastAsia="宋体" w:hAnsi="Times New Roman" w:cs="Times New Roman"/>
          <w:sz w:val="24"/>
          <w:szCs w:val="24"/>
        </w:rPr>
        <w:t>万元，增幅</w:t>
      </w:r>
      <w:r>
        <w:rPr>
          <w:rFonts w:ascii="Times New Roman" w:eastAsia="宋体" w:hAnsi="Times New Roman" w:cs="Times New Roman"/>
          <w:sz w:val="24"/>
          <w:szCs w:val="24"/>
        </w:rPr>
        <w:t>68.78%</w:t>
      </w:r>
      <w:r>
        <w:rPr>
          <w:rFonts w:ascii="Times New Roman" w:eastAsia="宋体" w:hAnsi="Times New Roman" w:cs="Times New Roman"/>
          <w:sz w:val="24"/>
          <w:szCs w:val="24"/>
        </w:rPr>
        <w:t>，主要系销售订单增加，</w:t>
      </w:r>
      <w:r>
        <w:rPr>
          <w:rFonts w:ascii="Times New Roman" w:eastAsia="宋体" w:hAnsi="Times New Roman" w:cs="Times New Roman"/>
          <w:sz w:val="24"/>
          <w:szCs w:val="24"/>
        </w:rPr>
        <w:t>“</w:t>
      </w:r>
      <w:r>
        <w:rPr>
          <w:rFonts w:ascii="Times New Roman" w:eastAsia="宋体" w:hAnsi="Times New Roman" w:cs="Times New Roman"/>
          <w:sz w:val="24"/>
          <w:szCs w:val="24"/>
        </w:rPr>
        <w:t>销售商品收到的现金</w:t>
      </w:r>
      <w:r>
        <w:rPr>
          <w:rFonts w:ascii="Times New Roman" w:eastAsia="宋体" w:hAnsi="Times New Roman" w:cs="Times New Roman"/>
          <w:sz w:val="24"/>
          <w:szCs w:val="24"/>
        </w:rPr>
        <w:t>”</w:t>
      </w:r>
      <w:r>
        <w:rPr>
          <w:rFonts w:ascii="Times New Roman" w:eastAsia="宋体" w:hAnsi="Times New Roman" w:cs="Times New Roman"/>
          <w:sz w:val="24"/>
          <w:szCs w:val="24"/>
        </w:rPr>
        <w:t>同比增加所致；经营活动现金流出小计较上年同期增加</w:t>
      </w:r>
      <w:r>
        <w:rPr>
          <w:rFonts w:ascii="Times New Roman" w:eastAsia="宋体" w:hAnsi="Times New Roman" w:cs="Times New Roman"/>
          <w:sz w:val="24"/>
          <w:szCs w:val="24"/>
        </w:rPr>
        <w:t>22,677.00</w:t>
      </w:r>
      <w:r>
        <w:rPr>
          <w:rFonts w:ascii="Times New Roman" w:eastAsia="宋体" w:hAnsi="Times New Roman" w:cs="Times New Roman"/>
          <w:sz w:val="24"/>
          <w:szCs w:val="24"/>
        </w:rPr>
        <w:t>万元，增幅</w:t>
      </w:r>
      <w:r>
        <w:rPr>
          <w:rFonts w:ascii="Times New Roman" w:eastAsia="宋体" w:hAnsi="Times New Roman" w:cs="Times New Roman"/>
          <w:sz w:val="24"/>
          <w:szCs w:val="24"/>
        </w:rPr>
        <w:t>30.12%</w:t>
      </w:r>
      <w:r>
        <w:rPr>
          <w:rFonts w:ascii="Times New Roman" w:eastAsia="宋体" w:hAnsi="Times New Roman" w:cs="Times New Roman"/>
          <w:sz w:val="24"/>
          <w:szCs w:val="24"/>
        </w:rPr>
        <w:t>，主要系根据销售订单需求，</w:t>
      </w:r>
      <w:r>
        <w:rPr>
          <w:rFonts w:ascii="Times New Roman" w:eastAsia="宋体" w:hAnsi="Times New Roman" w:cs="Times New Roman"/>
          <w:sz w:val="24"/>
          <w:szCs w:val="24"/>
        </w:rPr>
        <w:t>“</w:t>
      </w:r>
      <w:r>
        <w:rPr>
          <w:rFonts w:ascii="Times New Roman" w:eastAsia="宋体" w:hAnsi="Times New Roman" w:cs="Times New Roman"/>
          <w:sz w:val="24"/>
          <w:szCs w:val="24"/>
        </w:rPr>
        <w:t>购买商品支付的现金</w:t>
      </w:r>
      <w:r>
        <w:rPr>
          <w:rFonts w:ascii="Times New Roman" w:eastAsia="宋体" w:hAnsi="Times New Roman" w:cs="Times New Roman"/>
          <w:sz w:val="24"/>
          <w:szCs w:val="24"/>
        </w:rPr>
        <w:t>”</w:t>
      </w:r>
      <w:r>
        <w:rPr>
          <w:rFonts w:ascii="Times New Roman" w:eastAsia="宋体" w:hAnsi="Times New Roman" w:cs="Times New Roman"/>
          <w:sz w:val="24"/>
          <w:szCs w:val="24"/>
        </w:rPr>
        <w:t>同比增加所致；经营活动产生的现金流量净额较上年同期增加</w:t>
      </w:r>
      <w:r>
        <w:rPr>
          <w:rFonts w:ascii="Times New Roman" w:eastAsia="宋体" w:hAnsi="Times New Roman" w:cs="Times New Roman"/>
          <w:sz w:val="24"/>
          <w:szCs w:val="24"/>
        </w:rPr>
        <w:t>17,010.93</w:t>
      </w:r>
      <w:r>
        <w:rPr>
          <w:rFonts w:ascii="Times New Roman" w:eastAsia="宋体" w:hAnsi="Times New Roman" w:cs="Times New Roman"/>
          <w:sz w:val="24"/>
          <w:szCs w:val="24"/>
        </w:rPr>
        <w:t>万元，增幅</w:t>
      </w:r>
      <w:r>
        <w:rPr>
          <w:rFonts w:ascii="Times New Roman" w:eastAsia="宋体" w:hAnsi="Times New Roman" w:cs="Times New Roman"/>
          <w:sz w:val="24"/>
          <w:szCs w:val="24"/>
        </w:rPr>
        <w:t>96.73%</w:t>
      </w:r>
      <w:r>
        <w:rPr>
          <w:rFonts w:ascii="Times New Roman" w:eastAsia="宋体" w:hAnsi="Times New Roman" w:cs="Times New Roman"/>
          <w:sz w:val="24"/>
          <w:szCs w:val="24"/>
        </w:rPr>
        <w:t>，主要系</w:t>
      </w:r>
      <w:r>
        <w:rPr>
          <w:rFonts w:ascii="Times New Roman" w:eastAsia="宋体" w:hAnsi="Times New Roman" w:cs="Times New Roman"/>
          <w:sz w:val="24"/>
          <w:szCs w:val="24"/>
        </w:rPr>
        <w:t>“</w:t>
      </w:r>
      <w:r>
        <w:rPr>
          <w:rFonts w:ascii="Times New Roman" w:eastAsia="宋体" w:hAnsi="Times New Roman" w:cs="Times New Roman"/>
          <w:sz w:val="24"/>
          <w:szCs w:val="24"/>
        </w:rPr>
        <w:t>销售商品收到的现金</w:t>
      </w:r>
      <w:r>
        <w:rPr>
          <w:rFonts w:ascii="Times New Roman" w:eastAsia="宋体" w:hAnsi="Times New Roman" w:cs="Times New Roman"/>
          <w:sz w:val="24"/>
          <w:szCs w:val="24"/>
        </w:rPr>
        <w:t>”</w:t>
      </w:r>
      <w:r>
        <w:rPr>
          <w:rFonts w:ascii="Times New Roman" w:eastAsia="宋体" w:hAnsi="Times New Roman" w:cs="Times New Roman"/>
          <w:sz w:val="24"/>
          <w:szCs w:val="24"/>
        </w:rPr>
        <w:t>同比增加额大于</w:t>
      </w:r>
      <w:r>
        <w:rPr>
          <w:rFonts w:ascii="Times New Roman" w:eastAsia="宋体" w:hAnsi="Times New Roman" w:cs="Times New Roman"/>
          <w:sz w:val="24"/>
          <w:szCs w:val="24"/>
        </w:rPr>
        <w:t>“</w:t>
      </w:r>
      <w:r>
        <w:rPr>
          <w:rFonts w:ascii="Times New Roman" w:eastAsia="宋体" w:hAnsi="Times New Roman" w:cs="Times New Roman"/>
          <w:sz w:val="24"/>
          <w:szCs w:val="24"/>
        </w:rPr>
        <w:t>购买商品支付的现金</w:t>
      </w:r>
      <w:r>
        <w:rPr>
          <w:rFonts w:ascii="Times New Roman" w:eastAsia="宋体" w:hAnsi="Times New Roman" w:cs="Times New Roman"/>
          <w:sz w:val="24"/>
          <w:szCs w:val="24"/>
        </w:rPr>
        <w:t>”</w:t>
      </w:r>
      <w:r>
        <w:rPr>
          <w:rFonts w:ascii="Times New Roman" w:eastAsia="宋体" w:hAnsi="Times New Roman" w:cs="Times New Roman"/>
          <w:sz w:val="24"/>
          <w:szCs w:val="24"/>
        </w:rPr>
        <w:t>同比增加额影响所致。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2</w:t>
      </w:r>
      <w:r>
        <w:rPr>
          <w:rFonts w:ascii="Times New Roman" w:eastAsia="宋体" w:hAnsi="Times New Roman" w:cs="Times New Roman"/>
          <w:sz w:val="24"/>
          <w:szCs w:val="24"/>
        </w:rPr>
        <w:t>）投资活动现金流入小计较上年同期增加</w:t>
      </w:r>
      <w:r>
        <w:rPr>
          <w:rFonts w:ascii="Times New Roman" w:eastAsia="宋体" w:hAnsi="Times New Roman" w:cs="Times New Roman"/>
          <w:sz w:val="24"/>
          <w:szCs w:val="24"/>
        </w:rPr>
        <w:t>42.71</w:t>
      </w:r>
      <w:r>
        <w:rPr>
          <w:rFonts w:ascii="Times New Roman" w:eastAsia="宋体" w:hAnsi="Times New Roman" w:cs="Times New Roman"/>
          <w:sz w:val="24"/>
          <w:szCs w:val="24"/>
        </w:rPr>
        <w:t>万元，增幅</w:t>
      </w:r>
      <w:r>
        <w:rPr>
          <w:rFonts w:ascii="Times New Roman" w:eastAsia="宋体" w:hAnsi="Times New Roman" w:cs="Times New Roman"/>
          <w:sz w:val="24"/>
          <w:szCs w:val="24"/>
        </w:rPr>
        <w:t>46.60%</w:t>
      </w:r>
      <w:r>
        <w:rPr>
          <w:rFonts w:ascii="Times New Roman" w:eastAsia="宋体" w:hAnsi="Times New Roman" w:cs="Times New Roman"/>
          <w:sz w:val="24"/>
          <w:szCs w:val="24"/>
        </w:rPr>
        <w:t>，系处置固定资产收到的现金同比增加所致；投资活动现金流出小计较上年同期减少</w:t>
      </w:r>
      <w:r>
        <w:rPr>
          <w:rFonts w:ascii="Times New Roman" w:eastAsia="宋体" w:hAnsi="Times New Roman" w:cs="Times New Roman"/>
          <w:sz w:val="24"/>
          <w:szCs w:val="24"/>
        </w:rPr>
        <w:t>2,305.44</w:t>
      </w:r>
      <w:r>
        <w:rPr>
          <w:rFonts w:ascii="Times New Roman" w:eastAsia="宋体" w:hAnsi="Times New Roman" w:cs="Times New Roman"/>
          <w:sz w:val="24"/>
          <w:szCs w:val="24"/>
        </w:rPr>
        <w:t>万元，下降</w:t>
      </w:r>
      <w:r>
        <w:rPr>
          <w:rFonts w:ascii="Times New Roman" w:eastAsia="宋体" w:hAnsi="Times New Roman" w:cs="Times New Roman"/>
          <w:sz w:val="24"/>
          <w:szCs w:val="24"/>
        </w:rPr>
        <w:t>29.02%</w:t>
      </w:r>
      <w:r>
        <w:rPr>
          <w:rFonts w:ascii="Times New Roman" w:eastAsia="宋体" w:hAnsi="Times New Roman" w:cs="Times New Roman"/>
          <w:sz w:val="24"/>
          <w:szCs w:val="24"/>
        </w:rPr>
        <w:t>，投资活动产生的现金流量净额较上年同期增加</w:t>
      </w:r>
      <w:r>
        <w:rPr>
          <w:rFonts w:ascii="Times New Roman" w:eastAsia="宋体" w:hAnsi="Times New Roman" w:cs="Times New Roman"/>
          <w:sz w:val="24"/>
          <w:szCs w:val="24"/>
        </w:rPr>
        <w:t>2,348.15</w:t>
      </w:r>
      <w:r>
        <w:rPr>
          <w:rFonts w:ascii="Times New Roman" w:eastAsia="宋体" w:hAnsi="Times New Roman" w:cs="Times New Roman"/>
          <w:sz w:val="24"/>
          <w:szCs w:val="24"/>
        </w:rPr>
        <w:t>万元，增幅</w:t>
      </w:r>
      <w:r>
        <w:rPr>
          <w:rFonts w:ascii="Times New Roman" w:eastAsia="宋体" w:hAnsi="Times New Roman" w:cs="Times New Roman"/>
          <w:sz w:val="24"/>
          <w:szCs w:val="24"/>
        </w:rPr>
        <w:t>29.90%</w:t>
      </w:r>
      <w:r>
        <w:rPr>
          <w:rFonts w:ascii="Times New Roman" w:eastAsia="宋体" w:hAnsi="Times New Roman" w:cs="Times New Roman"/>
          <w:sz w:val="24"/>
          <w:szCs w:val="24"/>
        </w:rPr>
        <w:t>，主要系技改项目投入支付的现金同比减少所致。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3</w:t>
      </w:r>
      <w:r>
        <w:rPr>
          <w:rFonts w:ascii="Times New Roman" w:eastAsia="宋体" w:hAnsi="Times New Roman" w:cs="Times New Roman"/>
          <w:sz w:val="24"/>
          <w:szCs w:val="24"/>
        </w:rPr>
        <w:t>）筹资活动现金流入小计较上年同期减少</w:t>
      </w:r>
      <w:r>
        <w:rPr>
          <w:rFonts w:ascii="Times New Roman" w:eastAsia="宋体" w:hAnsi="Times New Roman" w:cs="Times New Roman"/>
          <w:sz w:val="24"/>
          <w:szCs w:val="24"/>
        </w:rPr>
        <w:t>45,278.18</w:t>
      </w:r>
      <w:r>
        <w:rPr>
          <w:rFonts w:ascii="Times New Roman" w:eastAsia="宋体" w:hAnsi="Times New Roman" w:cs="Times New Roman"/>
          <w:sz w:val="24"/>
          <w:szCs w:val="24"/>
        </w:rPr>
        <w:t>万元，下降</w:t>
      </w:r>
      <w:r>
        <w:rPr>
          <w:rFonts w:ascii="Times New Roman" w:eastAsia="宋体" w:hAnsi="Times New Roman" w:cs="Times New Roman"/>
          <w:sz w:val="24"/>
          <w:szCs w:val="24"/>
        </w:rPr>
        <w:t>59.95%</w:t>
      </w:r>
      <w:r>
        <w:rPr>
          <w:rFonts w:ascii="Times New Roman" w:eastAsia="宋体" w:hAnsi="Times New Roman" w:cs="Times New Roman"/>
          <w:sz w:val="24"/>
          <w:szCs w:val="24"/>
        </w:rPr>
        <w:t>，主要系收到银行借款及收回借款保证金同比减少所致；筹资活动现金流出小计较上年同期减少</w:t>
      </w:r>
      <w:r>
        <w:rPr>
          <w:rFonts w:ascii="Times New Roman" w:eastAsia="宋体" w:hAnsi="Times New Roman" w:cs="Times New Roman"/>
          <w:sz w:val="24"/>
          <w:szCs w:val="24"/>
        </w:rPr>
        <w:t>32,980.63</w:t>
      </w:r>
      <w:r>
        <w:rPr>
          <w:rFonts w:ascii="Times New Roman" w:eastAsia="宋体" w:hAnsi="Times New Roman" w:cs="Times New Roman"/>
          <w:sz w:val="24"/>
          <w:szCs w:val="24"/>
        </w:rPr>
        <w:t>万元，下降</w:t>
      </w:r>
      <w:r>
        <w:rPr>
          <w:rFonts w:ascii="Times New Roman" w:eastAsia="宋体" w:hAnsi="Times New Roman" w:cs="Times New Roman"/>
          <w:sz w:val="24"/>
          <w:szCs w:val="24"/>
        </w:rPr>
        <w:t>49.36%</w:t>
      </w:r>
      <w:r>
        <w:rPr>
          <w:rFonts w:ascii="Times New Roman" w:eastAsia="宋体" w:hAnsi="Times New Roman" w:cs="Times New Roman"/>
          <w:sz w:val="24"/>
          <w:szCs w:val="24"/>
        </w:rPr>
        <w:t>，主要系偿还借款及支付借款保证金同比减少所致；筹资活动产生的现金流量净额同比减少</w:t>
      </w:r>
      <w:r>
        <w:rPr>
          <w:rFonts w:ascii="Times New Roman" w:eastAsia="宋体" w:hAnsi="Times New Roman" w:cs="Times New Roman"/>
          <w:sz w:val="24"/>
          <w:szCs w:val="24"/>
        </w:rPr>
        <w:t>12,297.55</w:t>
      </w:r>
      <w:r>
        <w:rPr>
          <w:rFonts w:ascii="Times New Roman" w:eastAsia="宋体" w:hAnsi="Times New Roman" w:cs="Times New Roman"/>
          <w:sz w:val="24"/>
          <w:szCs w:val="24"/>
        </w:rPr>
        <w:t>万元，下降</w:t>
      </w:r>
      <w:r>
        <w:rPr>
          <w:rFonts w:ascii="Times New Roman" w:eastAsia="宋体" w:hAnsi="Times New Roman" w:cs="Times New Roman"/>
          <w:sz w:val="24"/>
          <w:szCs w:val="24"/>
        </w:rPr>
        <w:t>141.20%</w:t>
      </w:r>
      <w:r>
        <w:rPr>
          <w:rFonts w:ascii="Times New Roman" w:eastAsia="宋体" w:hAnsi="Times New Roman" w:cs="Times New Roman"/>
          <w:sz w:val="24"/>
          <w:szCs w:val="24"/>
        </w:rPr>
        <w:t>，系融资借款净增加额同比减少所致。</w:t>
      </w:r>
    </w:p>
    <w:p w:rsidR="00380CDC" w:rsidRDefault="00071FC2">
      <w:pPr>
        <w:spacing w:line="360" w:lineRule="auto"/>
        <w:ind w:firstLineChars="200" w:firstLine="480"/>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4</w:t>
      </w:r>
      <w:r>
        <w:rPr>
          <w:rFonts w:ascii="Times New Roman" w:eastAsia="宋体" w:hAnsi="Times New Roman" w:cs="Times New Roman"/>
          <w:sz w:val="24"/>
          <w:szCs w:val="24"/>
        </w:rPr>
        <w:t>）现金及现金等价物净增加额较上年同期增加</w:t>
      </w:r>
      <w:r>
        <w:rPr>
          <w:rFonts w:ascii="Times New Roman" w:eastAsia="宋体" w:hAnsi="Times New Roman" w:cs="Times New Roman"/>
          <w:sz w:val="24"/>
          <w:szCs w:val="24"/>
        </w:rPr>
        <w:t>7,065.47</w:t>
      </w:r>
      <w:r>
        <w:rPr>
          <w:rFonts w:ascii="Times New Roman" w:eastAsia="宋体" w:hAnsi="Times New Roman" w:cs="Times New Roman"/>
          <w:sz w:val="24"/>
          <w:szCs w:val="24"/>
        </w:rPr>
        <w:t>万元，增幅</w:t>
      </w:r>
      <w:r>
        <w:rPr>
          <w:rFonts w:ascii="Times New Roman" w:eastAsia="宋体" w:hAnsi="Times New Roman" w:cs="Times New Roman"/>
          <w:sz w:val="24"/>
          <w:szCs w:val="24"/>
        </w:rPr>
        <w:t>42.31%</w:t>
      </w:r>
      <w:r>
        <w:rPr>
          <w:rFonts w:ascii="Times New Roman" w:eastAsia="宋体" w:hAnsi="Times New Roman" w:cs="Times New Roman"/>
          <w:sz w:val="24"/>
          <w:szCs w:val="24"/>
        </w:rPr>
        <w:t>，系</w:t>
      </w:r>
      <w:r>
        <w:rPr>
          <w:rFonts w:ascii="Times New Roman" w:eastAsia="宋体" w:hAnsi="Times New Roman" w:cs="Times New Roman"/>
          <w:sz w:val="24"/>
          <w:szCs w:val="24"/>
        </w:rPr>
        <w:t>“</w:t>
      </w:r>
      <w:r>
        <w:rPr>
          <w:rFonts w:ascii="Times New Roman" w:eastAsia="宋体" w:hAnsi="Times New Roman" w:cs="Times New Roman"/>
          <w:sz w:val="24"/>
          <w:szCs w:val="24"/>
        </w:rPr>
        <w:t>经营</w:t>
      </w:r>
      <w:r>
        <w:rPr>
          <w:rFonts w:ascii="Times New Roman" w:eastAsia="宋体" w:hAnsi="Times New Roman" w:cs="Times New Roman"/>
          <w:sz w:val="24"/>
          <w:szCs w:val="24"/>
        </w:rPr>
        <w:lastRenderedPageBreak/>
        <w:t>活动产生的现金流量净额</w:t>
      </w:r>
      <w:r>
        <w:rPr>
          <w:rFonts w:ascii="Times New Roman" w:eastAsia="宋体" w:hAnsi="Times New Roman" w:cs="Times New Roman"/>
          <w:sz w:val="24"/>
          <w:szCs w:val="24"/>
        </w:rPr>
        <w:t>”“</w:t>
      </w:r>
      <w:r>
        <w:rPr>
          <w:rFonts w:ascii="Times New Roman" w:eastAsia="宋体" w:hAnsi="Times New Roman" w:cs="Times New Roman" w:hint="eastAsia"/>
          <w:sz w:val="24"/>
          <w:szCs w:val="24"/>
        </w:rPr>
        <w:t>投</w:t>
      </w:r>
      <w:r>
        <w:rPr>
          <w:rFonts w:ascii="Times New Roman" w:eastAsia="宋体" w:hAnsi="Times New Roman" w:cs="Times New Roman"/>
          <w:sz w:val="24"/>
          <w:szCs w:val="24"/>
        </w:rPr>
        <w:t>资活动产生的现金流量净额</w:t>
      </w:r>
      <w:r>
        <w:rPr>
          <w:rFonts w:ascii="Times New Roman" w:eastAsia="宋体" w:hAnsi="Times New Roman" w:cs="Times New Roman"/>
          <w:sz w:val="24"/>
          <w:szCs w:val="24"/>
        </w:rPr>
        <w:t>”“</w:t>
      </w:r>
      <w:r>
        <w:rPr>
          <w:rFonts w:ascii="Times New Roman" w:eastAsia="宋体" w:hAnsi="Times New Roman" w:cs="Times New Roman"/>
          <w:sz w:val="24"/>
          <w:szCs w:val="24"/>
        </w:rPr>
        <w:t>筹资活动产生的现金流量净额</w:t>
      </w:r>
      <w:r>
        <w:rPr>
          <w:rFonts w:ascii="Times New Roman" w:eastAsia="宋体" w:hAnsi="Times New Roman" w:cs="Times New Roman"/>
          <w:sz w:val="24"/>
          <w:szCs w:val="24"/>
        </w:rPr>
        <w:t>”</w:t>
      </w:r>
      <w:r>
        <w:rPr>
          <w:rFonts w:ascii="Times New Roman" w:eastAsia="宋体" w:hAnsi="Times New Roman" w:cs="Times New Roman"/>
          <w:sz w:val="24"/>
          <w:szCs w:val="24"/>
        </w:rPr>
        <w:t>三者共同作用所致。</w:t>
      </w:r>
    </w:p>
    <w:p w:rsidR="00071FC2" w:rsidRDefault="00071FC2">
      <w:pPr>
        <w:pStyle w:val="headingh1"/>
        <w:spacing w:before="300" w:after="300" w:line="320" w:lineRule="exact"/>
        <w:jc w:val="both"/>
        <w:rPr>
          <w:rFonts w:ascii="Times New Roman" w:eastAsia="宋体" w:hAnsi="Times New Roman" w:cs="Times New Roman"/>
          <w:b/>
          <w:bCs/>
          <w:sz w:val="24"/>
          <w:szCs w:val="24"/>
        </w:rPr>
      </w:pPr>
      <w:bookmarkStart w:id="5" w:name="_Toc988893"/>
      <w:r>
        <w:rPr>
          <w:rFonts w:ascii="Times New Roman" w:eastAsia="宋体" w:hAnsi="Times New Roman" w:cs="Times New Roman"/>
          <w:b/>
          <w:bCs/>
          <w:sz w:val="24"/>
          <w:szCs w:val="24"/>
        </w:rPr>
        <w:t>二、股东信息</w:t>
      </w:r>
    </w:p>
    <w:p w:rsidR="00380CDC" w:rsidRDefault="00071FC2">
      <w:pPr>
        <w:pStyle w:val="headingh1"/>
        <w:spacing w:before="300" w:after="300" w:line="320" w:lineRule="exact"/>
        <w:jc w:val="both"/>
        <w:rPr>
          <w:rFonts w:ascii="Times New Roman" w:eastAsia="宋体" w:hAnsi="Times New Roman" w:cs="Times New Roman"/>
          <w:b/>
          <w:bCs/>
          <w:sz w:val="24"/>
          <w:szCs w:val="24"/>
        </w:rPr>
      </w:pPr>
      <w:r>
        <w:rPr>
          <w:rFonts w:ascii="Times New Roman" w:eastAsia="宋体" w:hAnsi="Times New Roman" w:cs="Times New Roman"/>
          <w:b/>
          <w:bCs/>
          <w:sz w:val="24"/>
          <w:szCs w:val="24"/>
        </w:rPr>
        <w:t xml:space="preserve"> </w:t>
      </w:r>
      <w:bookmarkStart w:id="6" w:name="_Toc988894"/>
      <w:bookmarkEnd w:id="5"/>
      <w:r>
        <w:rPr>
          <w:rFonts w:ascii="Times New Roman" w:eastAsia="宋体" w:hAnsi="Times New Roman" w:cs="Times New Roman"/>
          <w:b/>
          <w:bCs/>
          <w:sz w:val="24"/>
          <w:szCs w:val="24"/>
        </w:rPr>
        <w:t>（一）</w:t>
      </w:r>
      <w:r>
        <w:rPr>
          <w:rFonts w:ascii="Times New Roman" w:eastAsia="宋体" w:hAnsi="Times New Roman" w:cs="Times New Roman"/>
          <w:b/>
          <w:bCs/>
          <w:sz w:val="24"/>
          <w:szCs w:val="24"/>
        </w:rPr>
        <w:t xml:space="preserve"> </w:t>
      </w:r>
      <w:r>
        <w:rPr>
          <w:rFonts w:ascii="Times New Roman" w:eastAsia="宋体" w:hAnsi="Times New Roman" w:cs="Times New Roman"/>
          <w:b/>
          <w:bCs/>
          <w:sz w:val="24"/>
          <w:szCs w:val="24"/>
        </w:rPr>
        <w:t>普通股股东总数和表决权恢复的优先股股东数量及前十名股东持股情况表</w:t>
      </w:r>
      <w:bookmarkEnd w:id="6"/>
    </w:p>
    <w:p w:rsidR="00380CDC" w:rsidRDefault="00071FC2">
      <w:pPr>
        <w:spacing w:line="360" w:lineRule="auto"/>
        <w:jc w:val="right"/>
        <w:rPr>
          <w:rFonts w:ascii="Times New Roman" w:eastAsia="宋体" w:hAnsi="Times New Roman" w:cs="Times New Roman"/>
          <w:szCs w:val="21"/>
        </w:rPr>
      </w:pPr>
      <w:r>
        <w:rPr>
          <w:rFonts w:ascii="Times New Roman" w:eastAsia="宋体" w:hAnsi="Times New Roman" w:cs="Times New Roman"/>
          <w:szCs w:val="21"/>
        </w:rPr>
        <w:t>单位：股</w:t>
      </w:r>
    </w:p>
    <w:tbl>
      <w:tblPr>
        <w:tblW w:w="10205"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2977"/>
        <w:gridCol w:w="1418"/>
        <w:gridCol w:w="992"/>
        <w:gridCol w:w="1559"/>
        <w:gridCol w:w="851"/>
        <w:gridCol w:w="850"/>
        <w:gridCol w:w="1558"/>
      </w:tblGrid>
      <w:tr w:rsidR="00380CDC">
        <w:trPr>
          <w:trHeight w:val="751"/>
          <w:jc w:val="center"/>
        </w:trPr>
        <w:tc>
          <w:tcPr>
            <w:tcW w:w="2977"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报告期末普通股股东总数</w:t>
            </w:r>
          </w:p>
        </w:tc>
        <w:tc>
          <w:tcPr>
            <w:tcW w:w="141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56,219</w:t>
            </w:r>
            <w:r>
              <w:rPr>
                <w:rFonts w:ascii="Times New Roman" w:eastAsia="宋体" w:hAnsi="Times New Roman" w:cs="Times New Roman"/>
                <w:szCs w:val="21"/>
              </w:rPr>
              <w:t>户</w:t>
            </w:r>
          </w:p>
        </w:tc>
        <w:tc>
          <w:tcPr>
            <w:tcW w:w="3402"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报告期末表决权恢复的优先股股东总数（如有）</w:t>
            </w:r>
          </w:p>
        </w:tc>
        <w:tc>
          <w:tcPr>
            <w:tcW w:w="2408"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w:t>
            </w:r>
          </w:p>
        </w:tc>
      </w:tr>
      <w:tr w:rsidR="00380CDC">
        <w:trPr>
          <w:trHeight w:val="454"/>
          <w:jc w:val="center"/>
        </w:trPr>
        <w:tc>
          <w:tcPr>
            <w:tcW w:w="10205"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前</w:t>
            </w:r>
            <w:r>
              <w:rPr>
                <w:rFonts w:ascii="Times New Roman" w:eastAsia="宋体" w:hAnsi="Times New Roman" w:cs="Times New Roman"/>
                <w:szCs w:val="21"/>
              </w:rPr>
              <w:t>10</w:t>
            </w:r>
            <w:r>
              <w:rPr>
                <w:rFonts w:ascii="Times New Roman" w:eastAsia="宋体" w:hAnsi="Times New Roman" w:cs="Times New Roman"/>
                <w:szCs w:val="21"/>
              </w:rPr>
              <w:t>名股东持股情况（不含通过转融通出借股份）</w:t>
            </w:r>
          </w:p>
        </w:tc>
      </w:tr>
      <w:tr w:rsidR="00380CDC">
        <w:trPr>
          <w:trHeight w:val="454"/>
          <w:jc w:val="center"/>
        </w:trPr>
        <w:tc>
          <w:tcPr>
            <w:tcW w:w="29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股东名称</w:t>
            </w:r>
          </w:p>
        </w:tc>
        <w:tc>
          <w:tcPr>
            <w:tcW w:w="141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股东性质</w:t>
            </w:r>
          </w:p>
        </w:tc>
        <w:tc>
          <w:tcPr>
            <w:tcW w:w="99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持股</w:t>
            </w:r>
          </w:p>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比例（</w:t>
            </w:r>
            <w:r>
              <w:rPr>
                <w:rFonts w:ascii="Times New Roman" w:eastAsia="宋体" w:hAnsi="Times New Roman" w:cs="Times New Roman"/>
                <w:szCs w:val="21"/>
              </w:rPr>
              <w:t>%</w:t>
            </w:r>
            <w:r>
              <w:rPr>
                <w:rFonts w:ascii="Times New Roman" w:eastAsia="宋体" w:hAnsi="Times New Roman" w:cs="Times New Roman"/>
                <w:szCs w:val="21"/>
              </w:rPr>
              <w:t>）</w:t>
            </w:r>
          </w:p>
        </w:tc>
        <w:tc>
          <w:tcPr>
            <w:tcW w:w="155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持股数量</w:t>
            </w:r>
          </w:p>
        </w:tc>
        <w:tc>
          <w:tcPr>
            <w:tcW w:w="85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持有有限售条件的股份数量</w:t>
            </w:r>
          </w:p>
        </w:tc>
        <w:tc>
          <w:tcPr>
            <w:tcW w:w="240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质押、标记或冻结情况</w:t>
            </w:r>
          </w:p>
        </w:tc>
      </w:tr>
      <w:tr w:rsidR="00380CDC">
        <w:trPr>
          <w:trHeight w:val="619"/>
          <w:jc w:val="center"/>
        </w:trPr>
        <w:tc>
          <w:tcPr>
            <w:tcW w:w="2977"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380CDC">
            <w:pPr>
              <w:rPr>
                <w:rFonts w:ascii="Times New Roman" w:eastAsia="宋体" w:hAnsi="Times New Roman" w:cs="Times New Roman"/>
                <w:szCs w:val="21"/>
              </w:rPr>
            </w:pPr>
          </w:p>
        </w:tc>
        <w:tc>
          <w:tcPr>
            <w:tcW w:w="1418"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380CDC">
            <w:pPr>
              <w:rPr>
                <w:rFonts w:ascii="Times New Roman" w:eastAsia="宋体" w:hAnsi="Times New Roman" w:cs="Times New Roman"/>
                <w:szCs w:val="21"/>
              </w:rPr>
            </w:pPr>
          </w:p>
        </w:tc>
        <w:tc>
          <w:tcPr>
            <w:tcW w:w="992"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380CDC">
            <w:pPr>
              <w:rPr>
                <w:rFonts w:ascii="Times New Roman" w:eastAsia="宋体" w:hAnsi="Times New Roman" w:cs="Times New Roman"/>
                <w:szCs w:val="21"/>
              </w:rPr>
            </w:pPr>
          </w:p>
        </w:tc>
        <w:tc>
          <w:tcPr>
            <w:tcW w:w="1559"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380CDC">
            <w:pPr>
              <w:rPr>
                <w:rFonts w:ascii="Times New Roman" w:eastAsia="宋体" w:hAnsi="Times New Roman" w:cs="Times New Roman"/>
                <w:szCs w:val="21"/>
              </w:rPr>
            </w:pPr>
          </w:p>
        </w:tc>
        <w:tc>
          <w:tcPr>
            <w:tcW w:w="851" w:type="dxa"/>
            <w:vMerge/>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380CDC">
            <w:pPr>
              <w:rPr>
                <w:rFonts w:ascii="Times New Roman" w:eastAsia="宋体" w:hAnsi="Times New Roman" w:cs="Times New Roman"/>
                <w:szCs w:val="21"/>
              </w:rPr>
            </w:pP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股份</w:t>
            </w:r>
          </w:p>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状态</w:t>
            </w:r>
          </w:p>
        </w:tc>
        <w:tc>
          <w:tcPr>
            <w:tcW w:w="1558"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数量</w:t>
            </w:r>
          </w:p>
        </w:tc>
      </w:tr>
      <w:tr w:rsidR="00380CDC">
        <w:trPr>
          <w:trHeight w:val="571"/>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崇义章源投资控股有限公司</w:t>
            </w:r>
          </w:p>
        </w:tc>
        <w:tc>
          <w:tcPr>
            <w:tcW w:w="141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境内非国有法人</w:t>
            </w:r>
          </w:p>
        </w:tc>
        <w:tc>
          <w:tcPr>
            <w:tcW w:w="992"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58.72%</w:t>
            </w:r>
          </w:p>
        </w:tc>
        <w:tc>
          <w:tcPr>
            <w:tcW w:w="1559"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705,524,056.00</w:t>
            </w:r>
          </w:p>
        </w:tc>
        <w:tc>
          <w:tcPr>
            <w:tcW w:w="851"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c>
          <w:tcPr>
            <w:tcW w:w="850"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质押</w:t>
            </w:r>
          </w:p>
        </w:tc>
        <w:tc>
          <w:tcPr>
            <w:tcW w:w="155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399,230,000.00</w:t>
            </w:r>
          </w:p>
        </w:tc>
      </w:tr>
      <w:tr w:rsidR="00380CDC">
        <w:trPr>
          <w:trHeight w:val="551"/>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柴长茂</w:t>
            </w:r>
          </w:p>
        </w:tc>
        <w:tc>
          <w:tcPr>
            <w:tcW w:w="141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境内自然人</w:t>
            </w:r>
          </w:p>
        </w:tc>
        <w:tc>
          <w:tcPr>
            <w:tcW w:w="992"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2.14%</w:t>
            </w:r>
          </w:p>
        </w:tc>
        <w:tc>
          <w:tcPr>
            <w:tcW w:w="1559"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25,700,000.00</w:t>
            </w:r>
          </w:p>
        </w:tc>
        <w:tc>
          <w:tcPr>
            <w:tcW w:w="851"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c>
          <w:tcPr>
            <w:tcW w:w="850"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不适用</w:t>
            </w:r>
          </w:p>
        </w:tc>
        <w:tc>
          <w:tcPr>
            <w:tcW w:w="155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r>
      <w:tr w:rsidR="00380CDC">
        <w:trPr>
          <w:trHeight w:val="573"/>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香港中央结算有限公司</w:t>
            </w:r>
          </w:p>
        </w:tc>
        <w:tc>
          <w:tcPr>
            <w:tcW w:w="141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境外法人</w:t>
            </w:r>
          </w:p>
        </w:tc>
        <w:tc>
          <w:tcPr>
            <w:tcW w:w="992"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0.55%</w:t>
            </w:r>
          </w:p>
        </w:tc>
        <w:tc>
          <w:tcPr>
            <w:tcW w:w="1559"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6,649,479.00</w:t>
            </w:r>
          </w:p>
        </w:tc>
        <w:tc>
          <w:tcPr>
            <w:tcW w:w="851"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c>
          <w:tcPr>
            <w:tcW w:w="850"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不适用</w:t>
            </w:r>
          </w:p>
        </w:tc>
        <w:tc>
          <w:tcPr>
            <w:tcW w:w="155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r>
      <w:tr w:rsidR="00380CDC">
        <w:trPr>
          <w:trHeight w:val="562"/>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招商银行股份有限公司－银华心佳两年持有期混合型证券投资基金</w:t>
            </w:r>
          </w:p>
        </w:tc>
        <w:tc>
          <w:tcPr>
            <w:tcW w:w="141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其他</w:t>
            </w:r>
          </w:p>
        </w:tc>
        <w:tc>
          <w:tcPr>
            <w:tcW w:w="992"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0.52%</w:t>
            </w:r>
          </w:p>
        </w:tc>
        <w:tc>
          <w:tcPr>
            <w:tcW w:w="1559"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6,198,600.00</w:t>
            </w:r>
          </w:p>
        </w:tc>
        <w:tc>
          <w:tcPr>
            <w:tcW w:w="851"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c>
          <w:tcPr>
            <w:tcW w:w="850"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不适用</w:t>
            </w:r>
          </w:p>
        </w:tc>
        <w:tc>
          <w:tcPr>
            <w:tcW w:w="155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r>
      <w:tr w:rsidR="00380CDC">
        <w:trPr>
          <w:trHeight w:val="556"/>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基本养老保险基金八零四组合</w:t>
            </w:r>
          </w:p>
        </w:tc>
        <w:tc>
          <w:tcPr>
            <w:tcW w:w="141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其他</w:t>
            </w:r>
          </w:p>
        </w:tc>
        <w:tc>
          <w:tcPr>
            <w:tcW w:w="992"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0.34%</w:t>
            </w:r>
          </w:p>
        </w:tc>
        <w:tc>
          <w:tcPr>
            <w:tcW w:w="1559"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4,104,140.00</w:t>
            </w:r>
          </w:p>
        </w:tc>
        <w:tc>
          <w:tcPr>
            <w:tcW w:w="851"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c>
          <w:tcPr>
            <w:tcW w:w="850"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不适用</w:t>
            </w:r>
          </w:p>
        </w:tc>
        <w:tc>
          <w:tcPr>
            <w:tcW w:w="155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r>
      <w:tr w:rsidR="00380CDC">
        <w:trPr>
          <w:trHeight w:val="862"/>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图灵私募基金管理（海南）有限公司－图灵璟龙一号私募证券投资基金</w:t>
            </w:r>
          </w:p>
        </w:tc>
        <w:tc>
          <w:tcPr>
            <w:tcW w:w="141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其他</w:t>
            </w:r>
          </w:p>
        </w:tc>
        <w:tc>
          <w:tcPr>
            <w:tcW w:w="992"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0.32%</w:t>
            </w:r>
          </w:p>
        </w:tc>
        <w:tc>
          <w:tcPr>
            <w:tcW w:w="1559"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3,900,000.00</w:t>
            </w:r>
          </w:p>
        </w:tc>
        <w:tc>
          <w:tcPr>
            <w:tcW w:w="851"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c>
          <w:tcPr>
            <w:tcW w:w="850"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不适用</w:t>
            </w:r>
          </w:p>
        </w:tc>
        <w:tc>
          <w:tcPr>
            <w:tcW w:w="155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r>
      <w:tr w:rsidR="00380CDC">
        <w:trPr>
          <w:trHeight w:val="830"/>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招商银行股份有限公司－南方中证</w:t>
            </w:r>
            <w:r>
              <w:rPr>
                <w:rFonts w:ascii="Times New Roman" w:eastAsia="宋体" w:hAnsi="Times New Roman" w:cs="Times New Roman"/>
                <w:szCs w:val="21"/>
              </w:rPr>
              <w:t>1000</w:t>
            </w:r>
            <w:r>
              <w:rPr>
                <w:rFonts w:ascii="Times New Roman" w:eastAsia="宋体" w:hAnsi="Times New Roman" w:cs="Times New Roman"/>
                <w:szCs w:val="21"/>
              </w:rPr>
              <w:t>交易型开放式指数证券投资基金</w:t>
            </w:r>
          </w:p>
        </w:tc>
        <w:tc>
          <w:tcPr>
            <w:tcW w:w="141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其他</w:t>
            </w:r>
          </w:p>
        </w:tc>
        <w:tc>
          <w:tcPr>
            <w:tcW w:w="992"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0.30%</w:t>
            </w:r>
          </w:p>
        </w:tc>
        <w:tc>
          <w:tcPr>
            <w:tcW w:w="1559"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3,588,670.00</w:t>
            </w:r>
          </w:p>
        </w:tc>
        <w:tc>
          <w:tcPr>
            <w:tcW w:w="851"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c>
          <w:tcPr>
            <w:tcW w:w="850"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不适用</w:t>
            </w:r>
          </w:p>
        </w:tc>
        <w:tc>
          <w:tcPr>
            <w:tcW w:w="155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r>
      <w:tr w:rsidR="00380CDC">
        <w:trPr>
          <w:trHeight w:val="559"/>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邬伟民</w:t>
            </w:r>
          </w:p>
        </w:tc>
        <w:tc>
          <w:tcPr>
            <w:tcW w:w="141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境内自然人</w:t>
            </w:r>
          </w:p>
        </w:tc>
        <w:tc>
          <w:tcPr>
            <w:tcW w:w="992"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0.28%</w:t>
            </w:r>
          </w:p>
        </w:tc>
        <w:tc>
          <w:tcPr>
            <w:tcW w:w="1559"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3,312,397.00</w:t>
            </w:r>
          </w:p>
        </w:tc>
        <w:tc>
          <w:tcPr>
            <w:tcW w:w="851"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c>
          <w:tcPr>
            <w:tcW w:w="850"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不适用</w:t>
            </w:r>
          </w:p>
        </w:tc>
        <w:tc>
          <w:tcPr>
            <w:tcW w:w="155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r>
      <w:tr w:rsidR="00380CDC">
        <w:trPr>
          <w:trHeight w:val="568"/>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丁伟建</w:t>
            </w:r>
          </w:p>
        </w:tc>
        <w:tc>
          <w:tcPr>
            <w:tcW w:w="141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境内自然人</w:t>
            </w:r>
          </w:p>
        </w:tc>
        <w:tc>
          <w:tcPr>
            <w:tcW w:w="992"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0.27%</w:t>
            </w:r>
          </w:p>
        </w:tc>
        <w:tc>
          <w:tcPr>
            <w:tcW w:w="1559"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3,279,572.00</w:t>
            </w:r>
          </w:p>
        </w:tc>
        <w:tc>
          <w:tcPr>
            <w:tcW w:w="851"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c>
          <w:tcPr>
            <w:tcW w:w="850"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不适用</w:t>
            </w:r>
          </w:p>
        </w:tc>
        <w:tc>
          <w:tcPr>
            <w:tcW w:w="155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r>
      <w:tr w:rsidR="00380CDC">
        <w:trPr>
          <w:trHeight w:val="575"/>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中信证券股份有限公司</w:t>
            </w:r>
          </w:p>
        </w:tc>
        <w:tc>
          <w:tcPr>
            <w:tcW w:w="141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国有法人</w:t>
            </w:r>
          </w:p>
        </w:tc>
        <w:tc>
          <w:tcPr>
            <w:tcW w:w="992"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0.26%</w:t>
            </w:r>
          </w:p>
        </w:tc>
        <w:tc>
          <w:tcPr>
            <w:tcW w:w="1559"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3,152,405.00</w:t>
            </w:r>
          </w:p>
        </w:tc>
        <w:tc>
          <w:tcPr>
            <w:tcW w:w="851"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c>
          <w:tcPr>
            <w:tcW w:w="850"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不适用</w:t>
            </w:r>
          </w:p>
        </w:tc>
        <w:tc>
          <w:tcPr>
            <w:tcW w:w="1558"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0.00</w:t>
            </w:r>
          </w:p>
        </w:tc>
      </w:tr>
      <w:tr w:rsidR="00380CDC">
        <w:trPr>
          <w:trHeight w:val="454"/>
          <w:jc w:val="center"/>
        </w:trPr>
        <w:tc>
          <w:tcPr>
            <w:tcW w:w="10205"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前</w:t>
            </w:r>
            <w:r>
              <w:rPr>
                <w:rFonts w:ascii="Times New Roman" w:eastAsia="宋体" w:hAnsi="Times New Roman" w:cs="Times New Roman"/>
                <w:szCs w:val="21"/>
              </w:rPr>
              <w:t>10</w:t>
            </w:r>
            <w:r>
              <w:rPr>
                <w:rFonts w:ascii="Times New Roman" w:eastAsia="宋体" w:hAnsi="Times New Roman" w:cs="Times New Roman"/>
                <w:szCs w:val="21"/>
              </w:rPr>
              <w:t>名无限售条件股东持股情况（不含通过转融通出借股份、高管锁定股）</w:t>
            </w:r>
          </w:p>
        </w:tc>
      </w:tr>
      <w:tr w:rsidR="00380CDC">
        <w:trPr>
          <w:trHeight w:val="454"/>
          <w:jc w:val="center"/>
        </w:trPr>
        <w:tc>
          <w:tcPr>
            <w:tcW w:w="29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股东名称</w:t>
            </w:r>
          </w:p>
        </w:tc>
        <w:tc>
          <w:tcPr>
            <w:tcW w:w="2410"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持有无限售条件股份</w:t>
            </w:r>
          </w:p>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数量</w:t>
            </w:r>
          </w:p>
        </w:tc>
        <w:tc>
          <w:tcPr>
            <w:tcW w:w="4818"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股份种类</w:t>
            </w:r>
          </w:p>
        </w:tc>
      </w:tr>
      <w:tr w:rsidR="00380CDC">
        <w:trPr>
          <w:trHeight w:val="454"/>
          <w:jc w:val="center"/>
        </w:trPr>
        <w:tc>
          <w:tcPr>
            <w:tcW w:w="2977" w:type="dxa"/>
            <w:vMerge/>
            <w:tcBorders>
              <w:top w:val="single" w:sz="2" w:space="0" w:color="auto"/>
              <w:left w:val="single" w:sz="2" w:space="0" w:color="auto"/>
              <w:bottom w:val="single" w:sz="2" w:space="0" w:color="auto"/>
              <w:right w:val="single" w:sz="2" w:space="0" w:color="auto"/>
            </w:tcBorders>
            <w:vAlign w:val="center"/>
          </w:tcPr>
          <w:p w:rsidR="00380CDC" w:rsidRDefault="00380CDC">
            <w:pPr>
              <w:rPr>
                <w:rFonts w:ascii="Times New Roman" w:eastAsia="宋体" w:hAnsi="Times New Roman" w:cs="Times New Roman"/>
                <w:szCs w:val="21"/>
              </w:rPr>
            </w:pPr>
          </w:p>
        </w:tc>
        <w:tc>
          <w:tcPr>
            <w:tcW w:w="2410" w:type="dxa"/>
            <w:gridSpan w:val="2"/>
            <w:vMerge/>
            <w:tcBorders>
              <w:top w:val="single" w:sz="2" w:space="0" w:color="auto"/>
              <w:left w:val="single" w:sz="2" w:space="0" w:color="auto"/>
              <w:bottom w:val="single" w:sz="2" w:space="0" w:color="auto"/>
              <w:right w:val="single" w:sz="2" w:space="0" w:color="auto"/>
            </w:tcBorders>
            <w:vAlign w:val="center"/>
          </w:tcPr>
          <w:p w:rsidR="00380CDC" w:rsidRDefault="00380CDC">
            <w:pPr>
              <w:rPr>
                <w:rFonts w:ascii="Times New Roman" w:eastAsia="宋体" w:hAnsi="Times New Roman" w:cs="Times New Roman"/>
                <w:szCs w:val="21"/>
              </w:rPr>
            </w:pPr>
          </w:p>
        </w:tc>
        <w:tc>
          <w:tcPr>
            <w:tcW w:w="2410"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股份种类</w:t>
            </w:r>
          </w:p>
        </w:tc>
        <w:tc>
          <w:tcPr>
            <w:tcW w:w="240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数量</w:t>
            </w:r>
          </w:p>
        </w:tc>
      </w:tr>
      <w:tr w:rsidR="00380CDC">
        <w:trPr>
          <w:trHeight w:val="589"/>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崇义章源投资控股有限公司</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705,524,056.00</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705,524,056.00</w:t>
            </w:r>
          </w:p>
        </w:tc>
      </w:tr>
      <w:tr w:rsidR="00380CDC">
        <w:trPr>
          <w:trHeight w:val="555"/>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lastRenderedPageBreak/>
              <w:t>柴长茂</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25,700,000.00</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25,700,000.00</w:t>
            </w:r>
          </w:p>
        </w:tc>
      </w:tr>
      <w:tr w:rsidR="00380CDC">
        <w:trPr>
          <w:trHeight w:val="563"/>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香港中央结算有限公司</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6,649,479.00</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6,649,479.00</w:t>
            </w:r>
          </w:p>
        </w:tc>
      </w:tr>
      <w:tr w:rsidR="00380CDC">
        <w:trPr>
          <w:trHeight w:val="855"/>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招商银行股份有限公司－银华心佳两年持有期混合型证券投资基金</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6,198,600.00</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6,198,600.00</w:t>
            </w:r>
          </w:p>
        </w:tc>
      </w:tr>
      <w:tr w:rsidR="00380CDC">
        <w:trPr>
          <w:trHeight w:val="556"/>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基本养老保险基金八零四组合</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4,104,140.00</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4,104,140.00</w:t>
            </w:r>
          </w:p>
        </w:tc>
      </w:tr>
      <w:tr w:rsidR="00380CDC">
        <w:trPr>
          <w:trHeight w:val="861"/>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图灵私募基金管理（海南）有限公司－图灵璟龙一号私募证券投资基金</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3,900,000.00</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3,900,000.00</w:t>
            </w:r>
          </w:p>
        </w:tc>
      </w:tr>
      <w:tr w:rsidR="00380CDC">
        <w:trPr>
          <w:trHeight w:val="844"/>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招商银行股份有限公司－南方中证</w:t>
            </w:r>
            <w:r>
              <w:rPr>
                <w:rFonts w:ascii="Times New Roman" w:eastAsia="宋体" w:hAnsi="Times New Roman" w:cs="Times New Roman"/>
                <w:szCs w:val="21"/>
              </w:rPr>
              <w:t>1000</w:t>
            </w:r>
            <w:r>
              <w:rPr>
                <w:rFonts w:ascii="Times New Roman" w:eastAsia="宋体" w:hAnsi="Times New Roman" w:cs="Times New Roman"/>
                <w:szCs w:val="21"/>
              </w:rPr>
              <w:t>交易型开放式指数证券投资基金</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3,588,670.00</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3,588,670.00</w:t>
            </w:r>
          </w:p>
        </w:tc>
      </w:tr>
      <w:tr w:rsidR="00380CDC">
        <w:trPr>
          <w:trHeight w:val="545"/>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邬伟民</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3,312,397.00</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3,312,397.00</w:t>
            </w:r>
          </w:p>
        </w:tc>
      </w:tr>
      <w:tr w:rsidR="00380CDC">
        <w:trPr>
          <w:trHeight w:val="581"/>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丁伟建</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3,279,572.00</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3,279,572.00</w:t>
            </w:r>
          </w:p>
        </w:tc>
      </w:tr>
      <w:tr w:rsidR="00380CDC">
        <w:trPr>
          <w:trHeight w:val="548"/>
          <w:jc w:val="center"/>
        </w:trPr>
        <w:tc>
          <w:tcPr>
            <w:tcW w:w="2977" w:type="dxa"/>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中信证券股份有限公司</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3,152,405.00</w:t>
            </w:r>
          </w:p>
        </w:tc>
        <w:tc>
          <w:tcPr>
            <w:tcW w:w="2410"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人民币普通股</w:t>
            </w:r>
          </w:p>
        </w:tc>
        <w:tc>
          <w:tcPr>
            <w:tcW w:w="2408" w:type="dxa"/>
            <w:gridSpan w:val="2"/>
            <w:tcBorders>
              <w:top w:val="single" w:sz="2" w:space="0" w:color="auto"/>
              <w:left w:val="single" w:sz="2" w:space="0" w:color="auto"/>
              <w:bottom w:val="single" w:sz="2" w:space="0" w:color="auto"/>
              <w:right w:val="single" w:sz="2" w:space="0" w:color="auto"/>
            </w:tcBorders>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3,152,405.00</w:t>
            </w:r>
          </w:p>
        </w:tc>
      </w:tr>
      <w:tr w:rsidR="00380CDC" w:rsidTr="00845AF7">
        <w:trPr>
          <w:trHeight w:val="1695"/>
          <w:jc w:val="center"/>
        </w:trPr>
        <w:tc>
          <w:tcPr>
            <w:tcW w:w="2977"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76" w:lineRule="auto"/>
              <w:jc w:val="both"/>
              <w:rPr>
                <w:rFonts w:ascii="Times New Roman" w:eastAsia="宋体" w:hAnsi="Times New Roman" w:cs="Times New Roman"/>
                <w:szCs w:val="21"/>
              </w:rPr>
            </w:pPr>
            <w:r>
              <w:rPr>
                <w:rFonts w:ascii="Times New Roman" w:eastAsia="宋体" w:hAnsi="Times New Roman" w:cs="Times New Roman"/>
                <w:szCs w:val="21"/>
              </w:rPr>
              <w:t>上述股东关联关系或一致行动的说明</w:t>
            </w:r>
          </w:p>
        </w:tc>
        <w:tc>
          <w:tcPr>
            <w:tcW w:w="7228" w:type="dxa"/>
            <w:gridSpan w:val="6"/>
            <w:tcBorders>
              <w:top w:val="single" w:sz="2" w:space="0" w:color="auto"/>
              <w:left w:val="single" w:sz="2" w:space="0" w:color="auto"/>
              <w:bottom w:val="single" w:sz="2" w:space="0" w:color="auto"/>
              <w:right w:val="single" w:sz="2" w:space="0" w:color="auto"/>
            </w:tcBorders>
            <w:vAlign w:val="center"/>
          </w:tcPr>
          <w:p w:rsidR="00380CDC" w:rsidRDefault="00071FC2">
            <w:pPr>
              <w:spacing w:line="276" w:lineRule="auto"/>
              <w:jc w:val="both"/>
              <w:rPr>
                <w:rFonts w:ascii="Times New Roman" w:eastAsia="宋体" w:hAnsi="Times New Roman" w:cs="Times New Roman"/>
                <w:szCs w:val="21"/>
              </w:rPr>
            </w:pPr>
            <w:r>
              <w:rPr>
                <w:rFonts w:ascii="Times New Roman" w:eastAsia="宋体" w:hAnsi="Times New Roman" w:cs="Times New Roman"/>
                <w:szCs w:val="21"/>
              </w:rPr>
              <w:t>前</w:t>
            </w:r>
            <w:r>
              <w:rPr>
                <w:rFonts w:ascii="Times New Roman" w:eastAsia="宋体" w:hAnsi="Times New Roman" w:cs="Times New Roman"/>
                <w:szCs w:val="21"/>
              </w:rPr>
              <w:t>10</w:t>
            </w:r>
            <w:r>
              <w:rPr>
                <w:rFonts w:ascii="Times New Roman" w:eastAsia="宋体" w:hAnsi="Times New Roman" w:cs="Times New Roman"/>
                <w:szCs w:val="21"/>
              </w:rPr>
              <w:t>名无限售流通股股东中，崇义章源投资控股有限公司与其他股东之间不存在关联关系，也不属于《上市公司收购管理办法》规定的一致行动人。截至本报告期末，公司未收到上述其他股东之间是否存在关联关系的证明文件，未知上述其他股东之间是否存在关联关系，以及是否属于《上市公司收购管理办法》中规定的一致行动人。</w:t>
            </w:r>
          </w:p>
        </w:tc>
      </w:tr>
      <w:tr w:rsidR="00380CDC" w:rsidTr="00891392">
        <w:trPr>
          <w:trHeight w:val="2414"/>
          <w:jc w:val="center"/>
        </w:trPr>
        <w:tc>
          <w:tcPr>
            <w:tcW w:w="2977"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both"/>
              <w:rPr>
                <w:rFonts w:ascii="Times New Roman" w:eastAsia="宋体" w:hAnsi="Times New Roman" w:cs="Times New Roman"/>
                <w:szCs w:val="21"/>
              </w:rPr>
            </w:pPr>
            <w:r>
              <w:rPr>
                <w:rFonts w:ascii="Times New Roman" w:eastAsia="宋体" w:hAnsi="Times New Roman" w:cs="Times New Roman"/>
                <w:szCs w:val="21"/>
              </w:rPr>
              <w:t>前</w:t>
            </w:r>
            <w:r>
              <w:rPr>
                <w:rFonts w:ascii="Times New Roman" w:eastAsia="宋体" w:hAnsi="Times New Roman" w:cs="Times New Roman"/>
                <w:szCs w:val="21"/>
              </w:rPr>
              <w:t>10</w:t>
            </w:r>
            <w:r>
              <w:rPr>
                <w:rFonts w:ascii="Times New Roman" w:eastAsia="宋体" w:hAnsi="Times New Roman" w:cs="Times New Roman"/>
                <w:szCs w:val="21"/>
              </w:rPr>
              <w:t>名股东参与融资融券业务情况说明（如有）</w:t>
            </w:r>
          </w:p>
        </w:tc>
        <w:tc>
          <w:tcPr>
            <w:tcW w:w="7228" w:type="dxa"/>
            <w:gridSpan w:val="6"/>
            <w:tcBorders>
              <w:top w:val="single" w:sz="2" w:space="0" w:color="auto"/>
              <w:left w:val="single" w:sz="2" w:space="0" w:color="auto"/>
              <w:bottom w:val="single" w:sz="2" w:space="0" w:color="auto"/>
              <w:right w:val="single" w:sz="2" w:space="0" w:color="auto"/>
            </w:tcBorders>
            <w:vAlign w:val="center"/>
          </w:tcPr>
          <w:p w:rsidR="00380CDC" w:rsidRDefault="00071FC2" w:rsidP="00845AF7">
            <w:pPr>
              <w:spacing w:line="276" w:lineRule="auto"/>
              <w:jc w:val="both"/>
              <w:rPr>
                <w:rFonts w:ascii="Times New Roman" w:eastAsia="宋体" w:hAnsi="Times New Roman" w:cs="Times New Roman"/>
                <w:szCs w:val="21"/>
              </w:rPr>
            </w:pPr>
            <w:r>
              <w:rPr>
                <w:rFonts w:ascii="Times New Roman" w:eastAsia="宋体" w:hAnsi="Times New Roman" w:cs="Times New Roman"/>
                <w:szCs w:val="21"/>
              </w:rPr>
              <w:t>股东柴长茂通过西南证券股份有限公司客户信用交易担保证券账户持有</w:t>
            </w:r>
            <w:r>
              <w:rPr>
                <w:rFonts w:ascii="Times New Roman" w:eastAsia="宋体" w:hAnsi="Times New Roman" w:cs="Times New Roman"/>
                <w:szCs w:val="21"/>
              </w:rPr>
              <w:t>25,700,000</w:t>
            </w:r>
            <w:r>
              <w:rPr>
                <w:rFonts w:ascii="Times New Roman" w:eastAsia="宋体" w:hAnsi="Times New Roman" w:cs="Times New Roman"/>
                <w:szCs w:val="21"/>
              </w:rPr>
              <w:t>股，通过普通证券账户持有</w:t>
            </w:r>
            <w:r>
              <w:rPr>
                <w:rFonts w:ascii="Times New Roman" w:eastAsia="宋体" w:hAnsi="Times New Roman" w:cs="Times New Roman"/>
                <w:szCs w:val="21"/>
              </w:rPr>
              <w:t>0</w:t>
            </w:r>
            <w:r>
              <w:rPr>
                <w:rFonts w:ascii="Times New Roman" w:eastAsia="宋体" w:hAnsi="Times New Roman" w:cs="Times New Roman"/>
                <w:szCs w:val="21"/>
              </w:rPr>
              <w:t>股，合计持有</w:t>
            </w:r>
            <w:r>
              <w:rPr>
                <w:rFonts w:ascii="Times New Roman" w:eastAsia="宋体" w:hAnsi="Times New Roman" w:cs="Times New Roman"/>
                <w:szCs w:val="21"/>
              </w:rPr>
              <w:t>25,700,000</w:t>
            </w:r>
            <w:r>
              <w:rPr>
                <w:rFonts w:ascii="Times New Roman" w:eastAsia="宋体" w:hAnsi="Times New Roman" w:cs="Times New Roman"/>
                <w:szCs w:val="21"/>
              </w:rPr>
              <w:t>股；股东图灵私募基金管理（海南）有限公司－图灵璟龙一号私募证券投资基金通过中信证券（山东）有限责任公司客户信用交易担保证券账户持有</w:t>
            </w:r>
            <w:r>
              <w:rPr>
                <w:rFonts w:ascii="Times New Roman" w:eastAsia="宋体" w:hAnsi="Times New Roman" w:cs="Times New Roman"/>
                <w:szCs w:val="21"/>
              </w:rPr>
              <w:t>3,900,000</w:t>
            </w:r>
            <w:r>
              <w:rPr>
                <w:rFonts w:ascii="Times New Roman" w:eastAsia="宋体" w:hAnsi="Times New Roman" w:cs="Times New Roman"/>
                <w:szCs w:val="21"/>
              </w:rPr>
              <w:t>股，通过普通证券账户持有</w:t>
            </w:r>
            <w:r>
              <w:rPr>
                <w:rFonts w:ascii="Times New Roman" w:eastAsia="宋体" w:hAnsi="Times New Roman" w:cs="Times New Roman"/>
                <w:szCs w:val="21"/>
              </w:rPr>
              <w:t>0</w:t>
            </w:r>
            <w:r>
              <w:rPr>
                <w:rFonts w:ascii="Times New Roman" w:eastAsia="宋体" w:hAnsi="Times New Roman" w:cs="Times New Roman"/>
                <w:szCs w:val="21"/>
              </w:rPr>
              <w:t>股，合计持有</w:t>
            </w:r>
            <w:r>
              <w:rPr>
                <w:rFonts w:ascii="Times New Roman" w:eastAsia="宋体" w:hAnsi="Times New Roman" w:cs="Times New Roman"/>
                <w:szCs w:val="21"/>
              </w:rPr>
              <w:t>3,900,000</w:t>
            </w:r>
            <w:r>
              <w:rPr>
                <w:rFonts w:ascii="Times New Roman" w:eastAsia="宋体" w:hAnsi="Times New Roman" w:cs="Times New Roman"/>
                <w:szCs w:val="21"/>
              </w:rPr>
              <w:t>股；股东丁伟建通过华泰证券股份有限公司客户信用交易担保证券账户持有</w:t>
            </w:r>
            <w:r>
              <w:rPr>
                <w:rFonts w:ascii="Times New Roman" w:eastAsia="宋体" w:hAnsi="Times New Roman" w:cs="Times New Roman"/>
                <w:szCs w:val="21"/>
              </w:rPr>
              <w:t>3,140,172</w:t>
            </w:r>
            <w:r>
              <w:rPr>
                <w:rFonts w:ascii="Times New Roman" w:eastAsia="宋体" w:hAnsi="Times New Roman" w:cs="Times New Roman"/>
                <w:szCs w:val="21"/>
              </w:rPr>
              <w:t>股，通过普通证券账户持有</w:t>
            </w:r>
            <w:r>
              <w:rPr>
                <w:rFonts w:ascii="Times New Roman" w:eastAsia="宋体" w:hAnsi="Times New Roman" w:cs="Times New Roman"/>
                <w:szCs w:val="21"/>
              </w:rPr>
              <w:t>139,400</w:t>
            </w:r>
            <w:r>
              <w:rPr>
                <w:rFonts w:ascii="Times New Roman" w:eastAsia="宋体" w:hAnsi="Times New Roman" w:cs="Times New Roman"/>
                <w:szCs w:val="21"/>
              </w:rPr>
              <w:t>股，合计持有</w:t>
            </w:r>
            <w:r>
              <w:rPr>
                <w:rFonts w:ascii="Times New Roman" w:eastAsia="宋体" w:hAnsi="Times New Roman" w:cs="Times New Roman"/>
                <w:szCs w:val="21"/>
              </w:rPr>
              <w:t>3,279,572</w:t>
            </w:r>
            <w:r>
              <w:rPr>
                <w:rFonts w:ascii="Times New Roman" w:eastAsia="宋体" w:hAnsi="Times New Roman" w:cs="Times New Roman"/>
                <w:szCs w:val="21"/>
              </w:rPr>
              <w:t>股。</w:t>
            </w:r>
          </w:p>
        </w:tc>
      </w:tr>
    </w:tbl>
    <w:p w:rsidR="00380CDC" w:rsidRDefault="00071FC2">
      <w:pPr>
        <w:spacing w:beforeLines="50" w:before="156" w:afterLines="50" w:after="156" w:line="360" w:lineRule="auto"/>
        <w:jc w:val="both"/>
        <w:rPr>
          <w:rFonts w:ascii="Times New Roman" w:eastAsia="宋体" w:hAnsi="Times New Roman" w:cs="Times New Roman"/>
          <w:b/>
          <w:sz w:val="24"/>
          <w:szCs w:val="24"/>
        </w:rPr>
      </w:pPr>
      <w:r>
        <w:rPr>
          <w:rFonts w:ascii="Times New Roman" w:eastAsia="宋体" w:hAnsi="Times New Roman" w:cs="Times New Roman"/>
          <w:b/>
          <w:sz w:val="24"/>
          <w:szCs w:val="24"/>
        </w:rPr>
        <w:t>持股</w:t>
      </w:r>
      <w:r>
        <w:rPr>
          <w:rFonts w:ascii="Times New Roman" w:eastAsia="宋体" w:hAnsi="Times New Roman" w:cs="Times New Roman"/>
          <w:b/>
          <w:sz w:val="24"/>
          <w:szCs w:val="24"/>
        </w:rPr>
        <w:t>5%</w:t>
      </w:r>
      <w:r>
        <w:rPr>
          <w:rFonts w:ascii="Times New Roman" w:eastAsia="宋体" w:hAnsi="Times New Roman" w:cs="Times New Roman"/>
          <w:b/>
          <w:sz w:val="24"/>
          <w:szCs w:val="24"/>
        </w:rPr>
        <w:t>以上股东、前</w:t>
      </w:r>
      <w:r>
        <w:rPr>
          <w:rFonts w:ascii="Times New Roman" w:eastAsia="宋体" w:hAnsi="Times New Roman" w:cs="Times New Roman"/>
          <w:b/>
          <w:sz w:val="24"/>
          <w:szCs w:val="24"/>
        </w:rPr>
        <w:t>10</w:t>
      </w:r>
      <w:r>
        <w:rPr>
          <w:rFonts w:ascii="Times New Roman" w:eastAsia="宋体" w:hAnsi="Times New Roman" w:cs="Times New Roman"/>
          <w:b/>
          <w:sz w:val="24"/>
          <w:szCs w:val="24"/>
        </w:rPr>
        <w:t>名股东及前</w:t>
      </w:r>
      <w:r>
        <w:rPr>
          <w:rFonts w:ascii="Times New Roman" w:eastAsia="宋体" w:hAnsi="Times New Roman" w:cs="Times New Roman"/>
          <w:b/>
          <w:sz w:val="24"/>
          <w:szCs w:val="24"/>
        </w:rPr>
        <w:t>10</w:t>
      </w:r>
      <w:r>
        <w:rPr>
          <w:rFonts w:ascii="Times New Roman" w:eastAsia="宋体" w:hAnsi="Times New Roman" w:cs="Times New Roman"/>
          <w:b/>
          <w:sz w:val="24"/>
          <w:szCs w:val="24"/>
        </w:rPr>
        <w:t>名无限售流通股股东参与转融通业务出借股份情况</w:t>
      </w:r>
    </w:p>
    <w:p w:rsidR="00380CDC" w:rsidRDefault="00071FC2">
      <w:pPr>
        <w:spacing w:beforeLines="50" w:before="156" w:afterLines="50" w:after="156" w:line="360" w:lineRule="auto"/>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适用</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sym w:font="Wingdings 2" w:char="F052"/>
      </w:r>
      <w:r>
        <w:rPr>
          <w:rFonts w:ascii="Times New Roman" w:eastAsia="宋体" w:hAnsi="Times New Roman" w:cs="Times New Roman"/>
          <w:sz w:val="24"/>
          <w:szCs w:val="24"/>
        </w:rPr>
        <w:t>不适用</w:t>
      </w:r>
    </w:p>
    <w:p w:rsidR="00380CDC" w:rsidRDefault="00071FC2">
      <w:pPr>
        <w:spacing w:beforeLines="50" w:before="156" w:afterLines="50" w:after="156" w:line="360" w:lineRule="auto"/>
        <w:jc w:val="both"/>
        <w:rPr>
          <w:rFonts w:ascii="Times New Roman" w:eastAsia="宋体" w:hAnsi="Times New Roman" w:cs="Times New Roman"/>
          <w:b/>
          <w:sz w:val="24"/>
          <w:szCs w:val="24"/>
        </w:rPr>
      </w:pPr>
      <w:r>
        <w:rPr>
          <w:rFonts w:ascii="Times New Roman" w:eastAsia="宋体" w:hAnsi="Times New Roman" w:cs="Times New Roman"/>
          <w:b/>
          <w:sz w:val="24"/>
          <w:szCs w:val="24"/>
        </w:rPr>
        <w:t>前</w:t>
      </w:r>
      <w:r>
        <w:rPr>
          <w:rFonts w:ascii="Times New Roman" w:eastAsia="宋体" w:hAnsi="Times New Roman" w:cs="Times New Roman"/>
          <w:b/>
          <w:sz w:val="24"/>
          <w:szCs w:val="24"/>
        </w:rPr>
        <w:t>10</w:t>
      </w:r>
      <w:r>
        <w:rPr>
          <w:rFonts w:ascii="Times New Roman" w:eastAsia="宋体" w:hAnsi="Times New Roman" w:cs="Times New Roman"/>
          <w:b/>
          <w:sz w:val="24"/>
          <w:szCs w:val="24"/>
        </w:rPr>
        <w:t>名股东及前</w:t>
      </w:r>
      <w:r>
        <w:rPr>
          <w:rFonts w:ascii="Times New Roman" w:eastAsia="宋体" w:hAnsi="Times New Roman" w:cs="Times New Roman"/>
          <w:b/>
          <w:sz w:val="24"/>
          <w:szCs w:val="24"/>
        </w:rPr>
        <w:t>10</w:t>
      </w:r>
      <w:r>
        <w:rPr>
          <w:rFonts w:ascii="Times New Roman" w:eastAsia="宋体" w:hAnsi="Times New Roman" w:cs="Times New Roman"/>
          <w:b/>
          <w:sz w:val="24"/>
          <w:szCs w:val="24"/>
        </w:rPr>
        <w:t>名无限售流通股股东因转融通出借</w:t>
      </w:r>
      <w:r>
        <w:rPr>
          <w:rFonts w:ascii="Times New Roman" w:eastAsia="宋体" w:hAnsi="Times New Roman" w:cs="Times New Roman"/>
          <w:b/>
          <w:sz w:val="24"/>
          <w:szCs w:val="24"/>
        </w:rPr>
        <w:t>/</w:t>
      </w:r>
      <w:r>
        <w:rPr>
          <w:rFonts w:ascii="Times New Roman" w:eastAsia="宋体" w:hAnsi="Times New Roman" w:cs="Times New Roman"/>
          <w:b/>
          <w:sz w:val="24"/>
          <w:szCs w:val="24"/>
        </w:rPr>
        <w:t>归还原因导致较上期发生变化</w:t>
      </w:r>
    </w:p>
    <w:p w:rsidR="00380CDC" w:rsidRDefault="00071FC2">
      <w:pPr>
        <w:spacing w:beforeLines="50" w:before="156" w:afterLines="50" w:after="156" w:line="360" w:lineRule="auto"/>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适用</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sym w:font="Wingdings 2" w:char="F052"/>
      </w:r>
      <w:r>
        <w:rPr>
          <w:rFonts w:ascii="Times New Roman" w:eastAsia="宋体" w:hAnsi="Times New Roman" w:cs="Times New Roman"/>
          <w:sz w:val="24"/>
          <w:szCs w:val="24"/>
        </w:rPr>
        <w:t>不适用</w:t>
      </w:r>
    </w:p>
    <w:p w:rsidR="00380CDC" w:rsidRDefault="00071FC2">
      <w:pPr>
        <w:pStyle w:val="2"/>
        <w:spacing w:beforeLines="50" w:afterLines="50" w:line="360" w:lineRule="auto"/>
        <w:rPr>
          <w:rFonts w:ascii="Times New Roman" w:eastAsia="宋体" w:hAnsi="Times New Roman" w:cs="Times New Roman"/>
          <w:b/>
          <w:bCs/>
          <w:sz w:val="24"/>
          <w:szCs w:val="24"/>
        </w:rPr>
      </w:pPr>
      <w:bookmarkStart w:id="7" w:name="_Toc988895"/>
      <w:r>
        <w:rPr>
          <w:rFonts w:ascii="Times New Roman" w:eastAsia="宋体" w:hAnsi="Times New Roman" w:cs="Times New Roman"/>
          <w:b/>
          <w:bCs/>
          <w:sz w:val="24"/>
          <w:szCs w:val="24"/>
        </w:rPr>
        <w:t>（二）</w:t>
      </w:r>
      <w:r>
        <w:rPr>
          <w:rFonts w:ascii="Times New Roman" w:eastAsia="宋体" w:hAnsi="Times New Roman" w:cs="Times New Roman"/>
          <w:b/>
          <w:bCs/>
          <w:sz w:val="24"/>
          <w:szCs w:val="24"/>
        </w:rPr>
        <w:t xml:space="preserve"> </w:t>
      </w:r>
      <w:r>
        <w:rPr>
          <w:rFonts w:ascii="Times New Roman" w:eastAsia="宋体" w:hAnsi="Times New Roman" w:cs="Times New Roman"/>
          <w:b/>
          <w:bCs/>
          <w:sz w:val="24"/>
          <w:szCs w:val="24"/>
        </w:rPr>
        <w:t>公司优先股股东总数及前</w:t>
      </w:r>
      <w:r>
        <w:rPr>
          <w:rFonts w:ascii="Times New Roman" w:eastAsia="宋体" w:hAnsi="Times New Roman" w:cs="Times New Roman"/>
          <w:b/>
          <w:bCs/>
          <w:sz w:val="24"/>
          <w:szCs w:val="24"/>
        </w:rPr>
        <w:t>10</w:t>
      </w:r>
      <w:r>
        <w:rPr>
          <w:rFonts w:ascii="Times New Roman" w:eastAsia="宋体" w:hAnsi="Times New Roman" w:cs="Times New Roman"/>
          <w:b/>
          <w:bCs/>
          <w:sz w:val="24"/>
          <w:szCs w:val="24"/>
        </w:rPr>
        <w:t>名优先股股东持股情况表</w:t>
      </w:r>
      <w:bookmarkEnd w:id="7"/>
    </w:p>
    <w:p w:rsidR="00380CDC" w:rsidRDefault="00071FC2">
      <w:pPr>
        <w:spacing w:beforeLines="50" w:before="156" w:afterLines="50" w:after="156" w:line="360" w:lineRule="auto"/>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适用</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sym w:font="Wingdings 2" w:char="F052"/>
      </w:r>
      <w:r>
        <w:rPr>
          <w:rFonts w:ascii="Times New Roman" w:eastAsia="宋体" w:hAnsi="Times New Roman" w:cs="Times New Roman"/>
          <w:sz w:val="24"/>
          <w:szCs w:val="24"/>
        </w:rPr>
        <w:t>不适用</w:t>
      </w:r>
    </w:p>
    <w:p w:rsidR="00380CDC" w:rsidRDefault="00071FC2">
      <w:pPr>
        <w:pStyle w:val="2"/>
        <w:spacing w:beforeLines="50" w:afterLines="50" w:line="360" w:lineRule="auto"/>
        <w:rPr>
          <w:rFonts w:ascii="Times New Roman" w:eastAsia="宋体" w:hAnsi="Times New Roman" w:cs="Times New Roman"/>
          <w:b/>
          <w:bCs/>
          <w:sz w:val="24"/>
          <w:szCs w:val="24"/>
        </w:rPr>
      </w:pPr>
      <w:bookmarkStart w:id="8" w:name="_Toc988896"/>
      <w:r>
        <w:rPr>
          <w:rFonts w:ascii="Times New Roman" w:eastAsia="宋体" w:hAnsi="Times New Roman" w:cs="Times New Roman"/>
          <w:b/>
          <w:bCs/>
          <w:sz w:val="24"/>
          <w:szCs w:val="24"/>
        </w:rPr>
        <w:lastRenderedPageBreak/>
        <w:t>三、其他重要事项</w:t>
      </w:r>
      <w:bookmarkEnd w:id="8"/>
    </w:p>
    <w:p w:rsidR="00380CDC" w:rsidRDefault="00071FC2">
      <w:pPr>
        <w:spacing w:beforeLines="50" w:before="156" w:afterLines="50" w:after="156" w:line="360" w:lineRule="auto"/>
        <w:jc w:val="both"/>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适用</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sym w:font="Wingdings 2" w:char="F052"/>
      </w:r>
      <w:r>
        <w:rPr>
          <w:rFonts w:ascii="Times New Roman" w:eastAsia="宋体" w:hAnsi="Times New Roman" w:cs="Times New Roman"/>
          <w:sz w:val="24"/>
          <w:szCs w:val="24"/>
        </w:rPr>
        <w:t>不适用</w:t>
      </w:r>
    </w:p>
    <w:p w:rsidR="00380CDC" w:rsidRDefault="00071FC2">
      <w:pPr>
        <w:pStyle w:val="2"/>
        <w:spacing w:beforeLines="50" w:afterLines="50" w:line="360" w:lineRule="auto"/>
        <w:rPr>
          <w:rFonts w:ascii="Times New Roman" w:eastAsia="宋体" w:hAnsi="Times New Roman" w:cs="Times New Roman"/>
          <w:b/>
          <w:bCs/>
          <w:sz w:val="24"/>
          <w:szCs w:val="24"/>
        </w:rPr>
      </w:pPr>
      <w:bookmarkStart w:id="9" w:name="_Toc988897"/>
      <w:r>
        <w:rPr>
          <w:rFonts w:ascii="Times New Roman" w:eastAsia="宋体" w:hAnsi="Times New Roman" w:cs="Times New Roman"/>
          <w:b/>
          <w:bCs/>
          <w:sz w:val="24"/>
          <w:szCs w:val="24"/>
        </w:rPr>
        <w:t>四、季度财务报表</w:t>
      </w:r>
      <w:bookmarkEnd w:id="9"/>
    </w:p>
    <w:p w:rsidR="00380CDC" w:rsidRDefault="00071FC2">
      <w:pPr>
        <w:pStyle w:val="2"/>
        <w:spacing w:beforeLines="50" w:afterLines="50" w:line="360" w:lineRule="auto"/>
        <w:rPr>
          <w:rFonts w:ascii="Times New Roman" w:eastAsia="宋体" w:hAnsi="Times New Roman" w:cs="Times New Roman"/>
          <w:b/>
          <w:bCs/>
          <w:sz w:val="24"/>
          <w:szCs w:val="24"/>
        </w:rPr>
      </w:pPr>
      <w:bookmarkStart w:id="10" w:name="_Toc988898"/>
      <w:r>
        <w:rPr>
          <w:rFonts w:ascii="Times New Roman" w:eastAsia="宋体" w:hAnsi="Times New Roman" w:cs="Times New Roman"/>
          <w:b/>
          <w:bCs/>
          <w:sz w:val="24"/>
          <w:szCs w:val="24"/>
        </w:rPr>
        <w:t>（一）</w:t>
      </w:r>
      <w:r>
        <w:rPr>
          <w:rFonts w:ascii="Times New Roman" w:eastAsia="宋体" w:hAnsi="Times New Roman" w:cs="Times New Roman"/>
          <w:b/>
          <w:bCs/>
          <w:sz w:val="24"/>
          <w:szCs w:val="24"/>
        </w:rPr>
        <w:t xml:space="preserve"> </w:t>
      </w:r>
      <w:r>
        <w:rPr>
          <w:rFonts w:ascii="Times New Roman" w:eastAsia="宋体" w:hAnsi="Times New Roman" w:cs="Times New Roman"/>
          <w:b/>
          <w:bCs/>
          <w:sz w:val="24"/>
          <w:szCs w:val="24"/>
        </w:rPr>
        <w:t>财务报表</w:t>
      </w:r>
      <w:bookmarkEnd w:id="10"/>
    </w:p>
    <w:p w:rsidR="00380CDC" w:rsidRDefault="00071FC2">
      <w:pPr>
        <w:pStyle w:val="2"/>
        <w:spacing w:beforeLines="50" w:afterLines="50" w:line="360" w:lineRule="auto"/>
        <w:rPr>
          <w:rFonts w:ascii="Times New Roman" w:eastAsia="宋体" w:hAnsi="Times New Roman" w:cs="Times New Roman"/>
          <w:b/>
          <w:bCs/>
          <w:sz w:val="24"/>
          <w:szCs w:val="24"/>
        </w:rPr>
      </w:pPr>
      <w:bookmarkStart w:id="11" w:name="_Toc988899"/>
      <w:r>
        <w:rPr>
          <w:rFonts w:ascii="Times New Roman" w:eastAsia="宋体" w:hAnsi="Times New Roman" w:cs="Times New Roman"/>
          <w:b/>
          <w:bCs/>
          <w:sz w:val="24"/>
          <w:szCs w:val="24"/>
        </w:rPr>
        <w:t>1</w:t>
      </w:r>
      <w:r>
        <w:rPr>
          <w:rFonts w:ascii="Times New Roman" w:eastAsia="宋体" w:hAnsi="Times New Roman" w:cs="Times New Roman"/>
          <w:b/>
          <w:bCs/>
          <w:sz w:val="24"/>
          <w:szCs w:val="24"/>
        </w:rPr>
        <w:t>、合并资产负债表</w:t>
      </w:r>
      <w:bookmarkEnd w:id="11"/>
    </w:p>
    <w:p w:rsidR="00380CDC" w:rsidRDefault="00071FC2">
      <w:pPr>
        <w:spacing w:beforeLines="50" w:before="156" w:afterLines="50" w:after="156" w:line="360" w:lineRule="auto"/>
        <w:jc w:val="both"/>
        <w:rPr>
          <w:rFonts w:ascii="Times New Roman" w:eastAsia="宋体" w:hAnsi="Times New Roman" w:cs="Times New Roman"/>
          <w:sz w:val="24"/>
          <w:szCs w:val="24"/>
        </w:rPr>
      </w:pPr>
      <w:r>
        <w:rPr>
          <w:rFonts w:ascii="Times New Roman" w:eastAsia="宋体" w:hAnsi="Times New Roman" w:cs="Times New Roman"/>
          <w:sz w:val="24"/>
          <w:szCs w:val="24"/>
        </w:rPr>
        <w:t>编制单位：崇义章源钨业股份有限公司</w:t>
      </w:r>
    </w:p>
    <w:p w:rsidR="00380CDC" w:rsidRDefault="00071FC2">
      <w:pPr>
        <w:spacing w:line="240" w:lineRule="exact"/>
        <w:jc w:val="center"/>
        <w:rPr>
          <w:rFonts w:ascii="Times New Roman" w:eastAsia="宋体" w:hAnsi="Times New Roman" w:cs="Times New Roman"/>
          <w:sz w:val="24"/>
          <w:szCs w:val="24"/>
        </w:rPr>
      </w:pPr>
      <w:r>
        <w:rPr>
          <w:rFonts w:ascii="Times New Roman" w:eastAsia="宋体" w:hAnsi="Times New Roman" w:cs="Times New Roman"/>
          <w:sz w:val="24"/>
          <w:szCs w:val="24"/>
        </w:rPr>
        <w:t>2025</w:t>
      </w:r>
      <w:r>
        <w:rPr>
          <w:rFonts w:ascii="Times New Roman" w:eastAsia="宋体" w:hAnsi="Times New Roman" w:cs="Times New Roman"/>
          <w:sz w:val="24"/>
          <w:szCs w:val="24"/>
        </w:rPr>
        <w:t>年</w:t>
      </w:r>
      <w:r>
        <w:rPr>
          <w:rFonts w:ascii="Times New Roman" w:eastAsia="宋体" w:hAnsi="Times New Roman" w:cs="Times New Roman"/>
          <w:sz w:val="24"/>
          <w:szCs w:val="24"/>
        </w:rPr>
        <w:t>03</w:t>
      </w:r>
      <w:r>
        <w:rPr>
          <w:rFonts w:ascii="Times New Roman" w:eastAsia="宋体" w:hAnsi="Times New Roman" w:cs="Times New Roman"/>
          <w:sz w:val="24"/>
          <w:szCs w:val="24"/>
        </w:rPr>
        <w:t>月</w:t>
      </w:r>
      <w:r>
        <w:rPr>
          <w:rFonts w:ascii="Times New Roman" w:eastAsia="宋体" w:hAnsi="Times New Roman" w:cs="Times New Roman"/>
          <w:sz w:val="24"/>
          <w:szCs w:val="24"/>
        </w:rPr>
        <w:t>31</w:t>
      </w:r>
      <w:r>
        <w:rPr>
          <w:rFonts w:ascii="Times New Roman" w:eastAsia="宋体" w:hAnsi="Times New Roman" w:cs="Times New Roman"/>
          <w:sz w:val="24"/>
          <w:szCs w:val="24"/>
        </w:rPr>
        <w:t>日</w:t>
      </w:r>
    </w:p>
    <w:p w:rsidR="00380CDC" w:rsidRDefault="00071FC2">
      <w:pPr>
        <w:spacing w:line="360" w:lineRule="auto"/>
        <w:jc w:val="right"/>
        <w:rPr>
          <w:rFonts w:ascii="Times New Roman" w:eastAsia="宋体" w:hAnsi="Times New Roman" w:cs="Times New Roman"/>
          <w:szCs w:val="21"/>
        </w:rPr>
      </w:pPr>
      <w:r>
        <w:rPr>
          <w:rFonts w:ascii="Times New Roman" w:eastAsia="宋体" w:hAnsi="Times New Roman" w:cs="Times New Roman"/>
          <w:szCs w:val="21"/>
        </w:rPr>
        <w:t>单位：元</w:t>
      </w:r>
    </w:p>
    <w:tbl>
      <w:tblPr>
        <w:tblW w:w="963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4A0" w:firstRow="1" w:lastRow="0" w:firstColumn="1" w:lastColumn="0" w:noHBand="0" w:noVBand="1"/>
      </w:tblPr>
      <w:tblGrid>
        <w:gridCol w:w="4679"/>
        <w:gridCol w:w="2552"/>
        <w:gridCol w:w="2408"/>
      </w:tblGrid>
      <w:tr w:rsidR="00380CDC">
        <w:trPr>
          <w:trHeight w:val="454"/>
          <w:jc w:val="center"/>
        </w:trPr>
        <w:tc>
          <w:tcPr>
            <w:tcW w:w="4679" w:type="dxa"/>
            <w:shd w:val="clear" w:color="auto" w:fill="D9D9D9" w:themeFill="background1" w:themeFillShade="D9"/>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项目</w:t>
            </w:r>
          </w:p>
        </w:tc>
        <w:tc>
          <w:tcPr>
            <w:tcW w:w="2552" w:type="dxa"/>
            <w:shd w:val="clear" w:color="auto" w:fill="D9D9D9" w:themeFill="background1" w:themeFillShade="D9"/>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期末余额</w:t>
            </w:r>
          </w:p>
        </w:tc>
        <w:tc>
          <w:tcPr>
            <w:tcW w:w="2408" w:type="dxa"/>
            <w:shd w:val="clear" w:color="auto" w:fill="D9D9D9" w:themeFill="background1" w:themeFillShade="D9"/>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期初余额</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流动资产：</w:t>
            </w:r>
          </w:p>
        </w:tc>
        <w:tc>
          <w:tcPr>
            <w:tcW w:w="2552" w:type="dxa"/>
            <w:shd w:val="clear" w:color="auto" w:fill="FFFFFF" w:themeFill="background1"/>
            <w:vAlign w:val="center"/>
          </w:tcPr>
          <w:p w:rsidR="00380CDC" w:rsidRDefault="00380CDC">
            <w:pPr>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货币资金</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352,960,599.82</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494,180,480.81</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结算备付金</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拆出资金</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交易性金融资产</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衍生金融资产</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792,750.00</w:t>
            </w: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应收票据</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2,055,024.40</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43,317,632.72</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应收账款</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780,210,214.75</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378,281,177.29</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应收款项融资</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180,149,465.42</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315,466,170.21</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预付款项</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26,272,285.63</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17,302,335.50</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应收保费</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应收分保账款</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应收分保合同准备金</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其他应收款</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3,272,720.63</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2,377,446.04</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其中：应收利息</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500" w:firstLine="1050"/>
              <w:rPr>
                <w:rFonts w:ascii="Times New Roman" w:eastAsia="宋体" w:hAnsi="Times New Roman" w:cs="Times New Roman"/>
                <w:szCs w:val="21"/>
              </w:rPr>
            </w:pPr>
            <w:r>
              <w:rPr>
                <w:rFonts w:ascii="Times New Roman" w:eastAsia="宋体" w:hAnsi="Times New Roman" w:cs="Times New Roman"/>
                <w:szCs w:val="21"/>
              </w:rPr>
              <w:t>应收股利</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买入返售金融资产</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存货</w:t>
            </w:r>
          </w:p>
        </w:tc>
        <w:tc>
          <w:tcPr>
            <w:tcW w:w="2552" w:type="dxa"/>
            <w:shd w:val="clear" w:color="auto" w:fill="FFFFFF" w:themeFill="background1"/>
            <w:vAlign w:val="center"/>
          </w:tcPr>
          <w:p w:rsidR="00380CDC" w:rsidRDefault="00071FC2">
            <w:pPr>
              <w:widowControl/>
              <w:jc w:val="right"/>
              <w:textAlignment w:val="center"/>
              <w:rPr>
                <w:rFonts w:ascii="Times New Roman" w:hAnsi="Times New Roman" w:cs="Times New Roman"/>
                <w:color w:val="000000"/>
                <w:sz w:val="18"/>
                <w:szCs w:val="18"/>
              </w:rPr>
            </w:pPr>
            <w:r>
              <w:rPr>
                <w:rFonts w:ascii="Times New Roman" w:eastAsia="宋体" w:hAnsi="Times New Roman" w:cs="Times New Roman"/>
                <w:szCs w:val="21"/>
              </w:rPr>
              <w:t xml:space="preserve"> 1,262,060,958.78 </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1,434,985,058.50</w:t>
            </w:r>
          </w:p>
        </w:tc>
      </w:tr>
      <w:tr w:rsidR="00380CDC">
        <w:trPr>
          <w:trHeight w:val="454"/>
          <w:jc w:val="center"/>
        </w:trPr>
        <w:tc>
          <w:tcPr>
            <w:tcW w:w="4679" w:type="dxa"/>
            <w:shd w:val="clear" w:color="auto" w:fill="D9D9D9" w:themeFill="background1" w:themeFillShade="D9"/>
            <w:vAlign w:val="center"/>
          </w:tcPr>
          <w:p w:rsidR="00380CDC" w:rsidRDefault="00071FC2">
            <w:pPr>
              <w:spacing w:before="40" w:after="40"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其中：数据资源</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lastRenderedPageBreak/>
              <w:t>合同资产</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持有待售资产</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一年内到期的非流动资产</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其他流动资产</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1,724,425.09</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25,504,036.36</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流动资产合计</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 xml:space="preserve"> 2,609,498,444.52 </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2,711,414,337.43</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非流动资产：</w:t>
            </w:r>
          </w:p>
        </w:tc>
        <w:tc>
          <w:tcPr>
            <w:tcW w:w="2552" w:type="dxa"/>
            <w:shd w:val="clear" w:color="auto" w:fill="FFFFFF" w:themeFill="background1"/>
            <w:vAlign w:val="center"/>
          </w:tcPr>
          <w:p w:rsidR="00380CDC" w:rsidRDefault="00380CDC">
            <w:pPr>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发放贷款和垫款</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债权投资</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其他债权投资</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长期应收款</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长期股权投资</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116,372,660.34</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112,325,190.65</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其他权益工具投资</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3,817,920.00</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3,817,920.00</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其他非流动金融资产</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投资性房地产</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9,379,168.03</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9,548,950.66</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固定资产</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1,192,446,472.15</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1,211,635,646.94</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在建工程</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210,854,233.61</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176,837,984.91</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生产性生物资产</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油气资产</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使用权资产</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13,468,887.43</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5,347,569.27</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无形资产</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370,980,535.40</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381,032,595.90</w:t>
            </w:r>
          </w:p>
        </w:tc>
      </w:tr>
      <w:tr w:rsidR="00380CDC">
        <w:trPr>
          <w:trHeight w:val="454"/>
          <w:jc w:val="center"/>
        </w:trPr>
        <w:tc>
          <w:tcPr>
            <w:tcW w:w="4679" w:type="dxa"/>
            <w:shd w:val="clear" w:color="auto" w:fill="D9D9D9" w:themeFill="background1" w:themeFillShade="D9"/>
            <w:vAlign w:val="center"/>
          </w:tcPr>
          <w:p w:rsidR="00380CDC" w:rsidRDefault="00071FC2">
            <w:pPr>
              <w:spacing w:before="40" w:after="40"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其中：数据资源</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开发支出</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3,319,352.86</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2,964,805.81</w:t>
            </w:r>
          </w:p>
        </w:tc>
      </w:tr>
      <w:tr w:rsidR="00380CDC">
        <w:trPr>
          <w:trHeight w:val="454"/>
          <w:jc w:val="center"/>
        </w:trPr>
        <w:tc>
          <w:tcPr>
            <w:tcW w:w="4679" w:type="dxa"/>
            <w:shd w:val="clear" w:color="auto" w:fill="D9D9D9" w:themeFill="background1" w:themeFillShade="D9"/>
            <w:vAlign w:val="center"/>
          </w:tcPr>
          <w:p w:rsidR="00380CDC" w:rsidRDefault="00071FC2">
            <w:pPr>
              <w:spacing w:before="40" w:after="40"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其中：数据资源</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商誉</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长期待摊费用</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30,088,567.03</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32,086,040.64</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递延所得税资产</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16,143,517.37</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14,216,685.08</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其他非流动资产</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322,132,082.23</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312,885,761.25</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非流动资产合计</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2,289,003,396.45</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2,262,699,151.11</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资产总计</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 xml:space="preserve"> 4,898,501,840.97 </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4,974,113,488.54</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流动负债：</w:t>
            </w:r>
          </w:p>
        </w:tc>
        <w:tc>
          <w:tcPr>
            <w:tcW w:w="2552" w:type="dxa"/>
            <w:shd w:val="clear" w:color="auto" w:fill="FFFFFF" w:themeFill="background1"/>
            <w:vAlign w:val="center"/>
          </w:tcPr>
          <w:p w:rsidR="00380CDC" w:rsidRDefault="00380CDC">
            <w:pPr>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lastRenderedPageBreak/>
              <w:t>短期借款</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839,423,022.86</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815,577,196.36</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向中央银行借款</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拆入资金</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交易性金融负债</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衍生金融负债</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1,435,350.00</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应付票据</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317,025,000.00</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469,327,500.00</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应付账款</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162,013,052.79</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246,455,499.69</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预收款项</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合同负债</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13,474,138.20</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18,952,836.17</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卖出回购金融资产款</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吸收存款及同业存放</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代理买卖证券款</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代理承销证券款</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应付职工薪酬</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76,104,428.52</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101,916,308.03</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应交税费</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29,846,221.80</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22,582,436.56</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其他应付款</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12,192,376.14</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10,925,941.15</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其中：应付利息</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500" w:firstLine="1050"/>
              <w:rPr>
                <w:rFonts w:ascii="Times New Roman" w:eastAsia="宋体" w:hAnsi="Times New Roman" w:cs="Times New Roman"/>
                <w:szCs w:val="21"/>
              </w:rPr>
            </w:pPr>
            <w:r>
              <w:rPr>
                <w:rFonts w:ascii="Times New Roman" w:eastAsia="宋体" w:hAnsi="Times New Roman" w:cs="Times New Roman"/>
                <w:szCs w:val="21"/>
              </w:rPr>
              <w:t>应付股利</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应付手续费及佣金</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应付分保账款</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持有待售负债</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一年内到期的非流动负债</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377,487,984.21</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236,126,684.22</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其他流动负债</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1,578,131.99</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2,212,988.18</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流动负债合计</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1,829,144,356.51</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1,925,512,740.36</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非流动负债：</w:t>
            </w:r>
          </w:p>
        </w:tc>
        <w:tc>
          <w:tcPr>
            <w:tcW w:w="2552" w:type="dxa"/>
            <w:shd w:val="clear" w:color="auto" w:fill="FFFFFF" w:themeFill="background1"/>
            <w:vAlign w:val="center"/>
          </w:tcPr>
          <w:p w:rsidR="00380CDC" w:rsidRDefault="00380CDC">
            <w:pPr>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保险合同准备金</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长期借款</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747,759,225.28</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774,460,495.28</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应付债券</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其中：优先股</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500" w:firstLine="1050"/>
              <w:rPr>
                <w:rFonts w:ascii="Times New Roman" w:eastAsia="宋体" w:hAnsi="Times New Roman" w:cs="Times New Roman"/>
                <w:szCs w:val="21"/>
              </w:rPr>
            </w:pPr>
            <w:r>
              <w:rPr>
                <w:rFonts w:ascii="Times New Roman" w:eastAsia="宋体" w:hAnsi="Times New Roman" w:cs="Times New Roman"/>
                <w:szCs w:val="21"/>
              </w:rPr>
              <w:t>永续债</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lastRenderedPageBreak/>
              <w:t>租赁负债</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11,705,274.33</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2,928,129.02</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长期应付款</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20,000,000.00</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20,000,000.00</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长期应付职工薪酬</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预计负债</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4,021,610.72</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4,124,482.10</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递延收益</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86,745,959.79</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91,403,742.97</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递延所得税负债</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20,645,952.43</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20,878,464.73</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其他非流动负债</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非流动负债合计</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890,878,022.55</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913,795,314.10</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负债合计</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2,720,022,379.06</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2,839,308,054.46</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所有者权益：</w:t>
            </w:r>
          </w:p>
        </w:tc>
        <w:tc>
          <w:tcPr>
            <w:tcW w:w="2552" w:type="dxa"/>
            <w:shd w:val="clear" w:color="auto" w:fill="FFFFFF" w:themeFill="background1"/>
            <w:vAlign w:val="center"/>
          </w:tcPr>
          <w:p w:rsidR="00380CDC" w:rsidRDefault="00380CDC">
            <w:pPr>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股本</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1,201,417,666.00</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1,201,417,666.00</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其他权益工具</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其中：优先股</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500" w:firstLine="1050"/>
              <w:rPr>
                <w:rFonts w:ascii="Times New Roman" w:eastAsia="宋体" w:hAnsi="Times New Roman" w:cs="Times New Roman"/>
                <w:szCs w:val="21"/>
              </w:rPr>
            </w:pPr>
            <w:r>
              <w:rPr>
                <w:rFonts w:ascii="Times New Roman" w:eastAsia="宋体" w:hAnsi="Times New Roman" w:cs="Times New Roman"/>
                <w:szCs w:val="21"/>
              </w:rPr>
              <w:t>永续债</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资本公积</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295,676,788.96</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295,497,763.84</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减：库存股</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其他综合收益</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850,415.50</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847,533.14</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专项储备</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10,749,529.81</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9,670,856.95</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盈余公积</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283,661,065.86</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283,661,065.86</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一般风险准备</w:t>
            </w:r>
          </w:p>
        </w:tc>
        <w:tc>
          <w:tcPr>
            <w:tcW w:w="2552"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c>
          <w:tcPr>
            <w:tcW w:w="2408" w:type="dxa"/>
            <w:shd w:val="clear" w:color="auto" w:fill="FFFFFF" w:themeFill="background1"/>
            <w:vAlign w:val="center"/>
          </w:tcPr>
          <w:p w:rsidR="00380CDC"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未分配利润</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 xml:space="preserve"> 382,307,095.04 </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339,739,299.31</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归属于母公司所有者权益合计</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 xml:space="preserve"> 2,174,662,561.17 </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2,130,834,185.10</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少数股东权益</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3,816,900.74</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3,971,248.98</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所有者权益合计</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 xml:space="preserve"> 2,178,479,461.91 </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2,134,805,434.08</w:t>
            </w:r>
          </w:p>
        </w:tc>
      </w:tr>
      <w:tr w:rsidR="00380CDC">
        <w:trPr>
          <w:trHeight w:val="454"/>
          <w:jc w:val="center"/>
        </w:trPr>
        <w:tc>
          <w:tcPr>
            <w:tcW w:w="4679" w:type="dxa"/>
            <w:shd w:val="clear" w:color="auto" w:fill="D9D9D9" w:themeFill="background1" w:themeFillShade="D9"/>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负债和所有者权益总计</w:t>
            </w:r>
          </w:p>
        </w:tc>
        <w:tc>
          <w:tcPr>
            <w:tcW w:w="2552"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 xml:space="preserve"> 4,898,501,840.97 </w:t>
            </w:r>
          </w:p>
        </w:tc>
        <w:tc>
          <w:tcPr>
            <w:tcW w:w="2408" w:type="dxa"/>
            <w:shd w:val="clear" w:color="auto" w:fill="FFFFFF" w:themeFill="background1"/>
            <w:vAlign w:val="center"/>
          </w:tcPr>
          <w:p w:rsidR="00380CDC" w:rsidRDefault="00071FC2">
            <w:pPr>
              <w:spacing w:line="240" w:lineRule="exact"/>
              <w:jc w:val="right"/>
              <w:rPr>
                <w:rFonts w:ascii="Times New Roman" w:eastAsia="宋体" w:hAnsi="Times New Roman" w:cs="Times New Roman"/>
                <w:szCs w:val="21"/>
              </w:rPr>
            </w:pPr>
            <w:r>
              <w:rPr>
                <w:rFonts w:ascii="Times New Roman" w:eastAsia="宋体" w:hAnsi="Times New Roman" w:cs="Times New Roman"/>
                <w:szCs w:val="21"/>
              </w:rPr>
              <w:t>4,974,113,488.54</w:t>
            </w:r>
          </w:p>
        </w:tc>
      </w:tr>
    </w:tbl>
    <w:p w:rsidR="00380CDC" w:rsidRDefault="00071FC2">
      <w:pPr>
        <w:spacing w:line="360" w:lineRule="auto"/>
        <w:rPr>
          <w:rFonts w:ascii="Times New Roman" w:eastAsia="宋体" w:hAnsi="Times New Roman" w:cs="Times New Roman"/>
          <w:szCs w:val="21"/>
        </w:rPr>
      </w:pPr>
      <w:r>
        <w:rPr>
          <w:rFonts w:ascii="Times New Roman" w:eastAsia="宋体" w:hAnsi="Times New Roman" w:cs="Times New Roman"/>
          <w:szCs w:val="21"/>
        </w:rPr>
        <w:t>法定代表人：黄世春</w:t>
      </w:r>
      <w:r>
        <w:rPr>
          <w:rFonts w:ascii="Times New Roman" w:eastAsia="宋体" w:hAnsi="Times New Roman" w:cs="Times New Roman"/>
          <w:szCs w:val="21"/>
        </w:rPr>
        <w:t xml:space="preserve">                        </w:t>
      </w:r>
      <w:r>
        <w:rPr>
          <w:rFonts w:ascii="Times New Roman" w:eastAsia="宋体" w:hAnsi="Times New Roman" w:cs="Times New Roman"/>
          <w:szCs w:val="21"/>
        </w:rPr>
        <w:t>主管会计工作负责人：范迪曜</w:t>
      </w:r>
      <w:r>
        <w:rPr>
          <w:rFonts w:ascii="Times New Roman" w:eastAsia="宋体" w:hAnsi="Times New Roman" w:cs="Times New Roman"/>
          <w:szCs w:val="21"/>
        </w:rPr>
        <w:t xml:space="preserve">                        </w:t>
      </w:r>
      <w:r>
        <w:rPr>
          <w:rFonts w:ascii="Times New Roman" w:eastAsia="宋体" w:hAnsi="Times New Roman" w:cs="Times New Roman"/>
          <w:szCs w:val="21"/>
        </w:rPr>
        <w:t>会计机构负责人：赵本林</w:t>
      </w:r>
    </w:p>
    <w:p w:rsidR="00380CDC" w:rsidRDefault="00380CDC">
      <w:pPr>
        <w:spacing w:line="360" w:lineRule="auto"/>
        <w:rPr>
          <w:rFonts w:ascii="Times New Roman" w:eastAsia="宋体" w:hAnsi="Times New Roman" w:cs="Times New Roman"/>
          <w:szCs w:val="21"/>
        </w:rPr>
      </w:pPr>
    </w:p>
    <w:p w:rsidR="00380CDC" w:rsidRDefault="00380CDC">
      <w:pPr>
        <w:spacing w:line="360" w:lineRule="auto"/>
        <w:rPr>
          <w:rFonts w:ascii="Times New Roman" w:eastAsia="宋体" w:hAnsi="Times New Roman" w:cs="Times New Roman"/>
          <w:szCs w:val="21"/>
        </w:rPr>
      </w:pPr>
    </w:p>
    <w:p w:rsidR="00380CDC" w:rsidRDefault="00071FC2">
      <w:pPr>
        <w:pStyle w:val="2"/>
        <w:spacing w:beforeLines="50" w:afterLines="50" w:line="360" w:lineRule="auto"/>
        <w:rPr>
          <w:rFonts w:ascii="Times New Roman" w:eastAsia="宋体" w:hAnsi="Times New Roman" w:cs="Times New Roman"/>
          <w:b/>
          <w:bCs/>
          <w:sz w:val="24"/>
          <w:szCs w:val="24"/>
        </w:rPr>
      </w:pPr>
      <w:bookmarkStart w:id="12" w:name="_Toc988900"/>
      <w:r>
        <w:rPr>
          <w:rFonts w:ascii="Times New Roman" w:eastAsia="宋体" w:hAnsi="Times New Roman" w:cs="Times New Roman"/>
          <w:b/>
          <w:bCs/>
          <w:sz w:val="24"/>
          <w:szCs w:val="24"/>
        </w:rPr>
        <w:lastRenderedPageBreak/>
        <w:t>2</w:t>
      </w:r>
      <w:r>
        <w:rPr>
          <w:rFonts w:ascii="Times New Roman" w:eastAsia="宋体" w:hAnsi="Times New Roman" w:cs="Times New Roman"/>
          <w:b/>
          <w:bCs/>
          <w:sz w:val="24"/>
          <w:szCs w:val="24"/>
        </w:rPr>
        <w:t>、合并利润表</w:t>
      </w:r>
      <w:bookmarkEnd w:id="12"/>
    </w:p>
    <w:p w:rsidR="00380CDC" w:rsidRDefault="00071FC2">
      <w:pPr>
        <w:spacing w:line="360" w:lineRule="auto"/>
        <w:jc w:val="right"/>
        <w:rPr>
          <w:rFonts w:ascii="Times New Roman" w:eastAsia="宋体" w:hAnsi="Times New Roman" w:cs="Times New Roman"/>
          <w:szCs w:val="21"/>
        </w:rPr>
      </w:pPr>
      <w:r>
        <w:rPr>
          <w:rFonts w:ascii="Times New Roman" w:eastAsia="宋体"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679"/>
        <w:gridCol w:w="2552"/>
        <w:gridCol w:w="2408"/>
      </w:tblGrid>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项目</w:t>
            </w:r>
          </w:p>
        </w:tc>
        <w:tc>
          <w:tcPr>
            <w:tcW w:w="2552"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071FC2">
            <w:pPr>
              <w:spacing w:line="240" w:lineRule="exact"/>
              <w:jc w:val="center"/>
              <w:rPr>
                <w:rFonts w:ascii="Times New Roman" w:eastAsia="宋体" w:hAnsi="Times New Roman" w:cs="Times New Roman"/>
                <w:szCs w:val="21"/>
              </w:rPr>
            </w:pPr>
            <w:r w:rsidRPr="00E47BB4">
              <w:rPr>
                <w:rFonts w:ascii="Times New Roman" w:eastAsia="宋体" w:hAnsi="Times New Roman" w:cs="Times New Roman"/>
                <w:szCs w:val="21"/>
              </w:rPr>
              <w:t>本期发生额</w:t>
            </w:r>
          </w:p>
        </w:tc>
        <w:tc>
          <w:tcPr>
            <w:tcW w:w="2408"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071FC2">
            <w:pPr>
              <w:spacing w:line="240" w:lineRule="exact"/>
              <w:jc w:val="center"/>
              <w:rPr>
                <w:rFonts w:ascii="Times New Roman" w:eastAsia="宋体" w:hAnsi="Times New Roman" w:cs="Times New Roman"/>
                <w:szCs w:val="21"/>
              </w:rPr>
            </w:pPr>
            <w:r w:rsidRPr="00E47BB4">
              <w:rPr>
                <w:rFonts w:ascii="Times New Roman" w:eastAsia="宋体" w:hAnsi="Times New Roman" w:cs="Times New Roman"/>
                <w:szCs w:val="21"/>
              </w:rPr>
              <w:t>上期发生额</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一、营业总收入</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1,186,253,423.19</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873,946,805.15</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其中：营业收入</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1,186,253,423.19</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873,946,805.15</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利息收入</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已赚保费</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手续费及佣金收入</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rsidTr="00071FC2">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rPr>
                <w:rFonts w:ascii="Times New Roman" w:eastAsia="宋体" w:hAnsi="Times New Roman" w:cs="Times New Roman"/>
                <w:szCs w:val="21"/>
              </w:rPr>
            </w:pPr>
            <w:r>
              <w:rPr>
                <w:rFonts w:ascii="Times New Roman" w:eastAsia="宋体" w:hAnsi="Times New Roman" w:cs="Times New Roman"/>
                <w:szCs w:val="21"/>
              </w:rPr>
              <w:t>二、营业总成本</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lang w:bidi="ar"/>
              </w:rPr>
              <w:t xml:space="preserve"> 1,124,186,962.78 </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826,126,585.79</w:t>
            </w:r>
          </w:p>
        </w:tc>
      </w:tr>
      <w:tr w:rsidR="00380CDC" w:rsidTr="00071FC2">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其中：营业成本</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lang w:bidi="ar"/>
              </w:rPr>
              <w:t xml:space="preserve"> 1,022,608,531.56 </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731,811,153.02</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利息支出</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手续费及佣金支出</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退保金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赔付支出净额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提取保险责任准备金净额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保单红利支出</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分保费用</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税金及附加</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4,065,841.75</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5,156,052.17</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销售费用</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14,226,414.89</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14,859,503.88</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管理费用</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43,922,803.95</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37,281,371.67</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研发费用</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17,748,229.94</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14,502,565.72</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400" w:firstLine="840"/>
              <w:rPr>
                <w:rFonts w:ascii="Times New Roman" w:eastAsia="宋体" w:hAnsi="Times New Roman" w:cs="Times New Roman"/>
                <w:szCs w:val="21"/>
              </w:rPr>
            </w:pPr>
            <w:r>
              <w:rPr>
                <w:rFonts w:ascii="Times New Roman" w:eastAsia="宋体" w:hAnsi="Times New Roman" w:cs="Times New Roman"/>
                <w:szCs w:val="21"/>
              </w:rPr>
              <w:t>财务费用</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21,615,140.69</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22,515,939.33</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500" w:firstLine="1050"/>
              <w:rPr>
                <w:rFonts w:ascii="Times New Roman" w:eastAsia="宋体" w:hAnsi="Times New Roman" w:cs="Times New Roman"/>
                <w:szCs w:val="21"/>
              </w:rPr>
            </w:pPr>
            <w:r>
              <w:rPr>
                <w:rFonts w:ascii="Times New Roman" w:eastAsia="宋体" w:hAnsi="Times New Roman" w:cs="Times New Roman"/>
                <w:szCs w:val="21"/>
              </w:rPr>
              <w:t>其中：利息费用</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20,446,966.06</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23,920,535.81</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800" w:firstLine="1680"/>
              <w:rPr>
                <w:rFonts w:ascii="Times New Roman" w:eastAsia="宋体" w:hAnsi="Times New Roman" w:cs="Times New Roman"/>
                <w:szCs w:val="21"/>
              </w:rPr>
            </w:pPr>
            <w:r>
              <w:rPr>
                <w:rFonts w:ascii="Times New Roman" w:eastAsia="宋体" w:hAnsi="Times New Roman" w:cs="Times New Roman"/>
                <w:szCs w:val="21"/>
              </w:rPr>
              <w:t>利息收入</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642,774.79</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688,217.45</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加：其他收益</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11,799,518.39</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8,510,035.62</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投资收益（损失以</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号填列）</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174,152.67</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1,162,287.89</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500" w:firstLine="1050"/>
              <w:rPr>
                <w:rFonts w:ascii="Times New Roman" w:eastAsia="宋体" w:hAnsi="Times New Roman" w:cs="Times New Roman"/>
                <w:szCs w:val="21"/>
              </w:rPr>
            </w:pPr>
            <w:r>
              <w:rPr>
                <w:rFonts w:ascii="Times New Roman" w:eastAsia="宋体" w:hAnsi="Times New Roman" w:cs="Times New Roman"/>
                <w:szCs w:val="21"/>
              </w:rPr>
              <w:t>其中：对联营企业和合营企业的投资收益</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2,868,444.57</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2,592,692.74</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800" w:firstLine="1680"/>
              <w:rPr>
                <w:rFonts w:ascii="Times New Roman" w:eastAsia="宋体" w:hAnsi="Times New Roman" w:cs="Times New Roman"/>
                <w:szCs w:val="21"/>
              </w:rPr>
            </w:pPr>
            <w:r>
              <w:rPr>
                <w:rFonts w:ascii="Times New Roman" w:eastAsia="宋体" w:hAnsi="Times New Roman" w:cs="Times New Roman"/>
                <w:szCs w:val="21"/>
              </w:rPr>
              <w:t>以摊余成本计量的金融资产终止确认收益</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汇兑收益（损失以</w:t>
            </w:r>
            <w:r>
              <w:rPr>
                <w:rFonts w:ascii="Times New Roman" w:eastAsia="宋体" w:hAnsi="Times New Roman" w:cs="Times New Roman"/>
                <w:szCs w:val="21"/>
              </w:rPr>
              <w:t>“-”</w:t>
            </w:r>
            <w:r>
              <w:rPr>
                <w:rFonts w:ascii="Times New Roman" w:eastAsia="宋体" w:hAnsi="Times New Roman" w:cs="Times New Roman"/>
                <w:szCs w:val="21"/>
              </w:rPr>
              <w:t>号填列）</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lastRenderedPageBreak/>
              <w:t>净敞口套期收益（损失以</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号填列）</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公允价值变动收益（损失以</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号填列）</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2,228,100.00</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信用减值损失（损失以</w:t>
            </w:r>
            <w:r>
              <w:rPr>
                <w:rFonts w:ascii="Times New Roman" w:eastAsia="宋体" w:hAnsi="Times New Roman" w:cs="Times New Roman"/>
                <w:szCs w:val="21"/>
              </w:rPr>
              <w:t>“-”</w:t>
            </w:r>
            <w:r>
              <w:rPr>
                <w:rFonts w:ascii="Times New Roman" w:eastAsia="宋体" w:hAnsi="Times New Roman" w:cs="Times New Roman"/>
                <w:szCs w:val="21"/>
              </w:rPr>
              <w:t>号填列）</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-19,215,203.36</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-16,408,987.63</w:t>
            </w:r>
          </w:p>
        </w:tc>
      </w:tr>
      <w:tr w:rsidR="00380CDC" w:rsidTr="00071FC2">
        <w:trPr>
          <w:trHeight w:val="549"/>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资产减值损失（损失以</w:t>
            </w:r>
            <w:r>
              <w:rPr>
                <w:rFonts w:ascii="Times New Roman" w:eastAsia="宋体" w:hAnsi="Times New Roman" w:cs="Times New Roman"/>
                <w:szCs w:val="21"/>
              </w:rPr>
              <w:t>“-”</w:t>
            </w:r>
            <w:r>
              <w:rPr>
                <w:rFonts w:ascii="Times New Roman" w:eastAsia="宋体" w:hAnsi="Times New Roman" w:cs="Times New Roman"/>
                <w:szCs w:val="21"/>
              </w:rPr>
              <w:t>号填列）</w:t>
            </w:r>
          </w:p>
        </w:tc>
        <w:tc>
          <w:tcPr>
            <w:tcW w:w="2552" w:type="dxa"/>
            <w:tcBorders>
              <w:top w:val="single" w:sz="2" w:space="0" w:color="auto"/>
              <w:left w:val="single" w:sz="2" w:space="0" w:color="auto"/>
              <w:bottom w:val="single" w:sz="2" w:space="0" w:color="auto"/>
              <w:right w:val="single" w:sz="2" w:space="0" w:color="auto"/>
            </w:tcBorders>
            <w:shd w:val="clear" w:color="auto" w:fill="auto"/>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lang w:bidi="ar"/>
              </w:rPr>
              <w:t xml:space="preserve"> -7,286,642.41 </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-7,567,893.28</w:t>
            </w:r>
          </w:p>
        </w:tc>
      </w:tr>
      <w:tr w:rsidR="00380CDC">
        <w:trPr>
          <w:trHeight w:val="585"/>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资产处置收益（损失以</w:t>
            </w:r>
            <w:r>
              <w:rPr>
                <w:rFonts w:ascii="Times New Roman" w:eastAsia="宋体" w:hAnsi="Times New Roman" w:cs="Times New Roman"/>
                <w:szCs w:val="21"/>
              </w:rPr>
              <w:t>“-”</w:t>
            </w:r>
            <w:r>
              <w:rPr>
                <w:rFonts w:ascii="Times New Roman" w:eastAsia="宋体" w:hAnsi="Times New Roman" w:cs="Times New Roman"/>
                <w:szCs w:val="21"/>
              </w:rPr>
              <w:t>号填列）</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 xml:space="preserve"> </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75,347.97</w:t>
            </w:r>
          </w:p>
        </w:tc>
      </w:tr>
      <w:tr w:rsidR="00380CDC">
        <w:trPr>
          <w:trHeight w:val="551"/>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三、营业利润（亏损以</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号填列）</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 xml:space="preserve"> 49,766,385.70 </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33,591,009.93</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加：营业外收入</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328,618.16</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170,887.00</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减：营业外支出</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658,454.32</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466,729.34</w:t>
            </w:r>
          </w:p>
        </w:tc>
      </w:tr>
      <w:tr w:rsidR="00380CDC">
        <w:trPr>
          <w:trHeight w:val="643"/>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四、利润总额（亏损总额以</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号填列）</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 xml:space="preserve"> 49,436,549.54 </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33,295,167.59</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减：所得税费用</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7,023,102.05</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6,558,765.60</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五、净利润（净亏损以</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号填列）</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 xml:space="preserve"> 42,413,447.49 </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26,736,401.99</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（一）按经营持续性分类</w:t>
            </w:r>
          </w:p>
        </w:tc>
        <w:tc>
          <w:tcPr>
            <w:tcW w:w="2552"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380CDC">
            <w:pPr>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1.</w:t>
            </w:r>
            <w:r>
              <w:rPr>
                <w:rFonts w:ascii="Times New Roman" w:eastAsia="宋体" w:hAnsi="Times New Roman" w:cs="Times New Roman"/>
                <w:szCs w:val="21"/>
              </w:rPr>
              <w:t>持续经营净利润（净亏损以</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号填列）</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 xml:space="preserve"> 42,413,447.49 </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26,736,401.99</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2.</w:t>
            </w:r>
            <w:r>
              <w:rPr>
                <w:rFonts w:ascii="Times New Roman" w:eastAsia="宋体" w:hAnsi="Times New Roman" w:cs="Times New Roman"/>
                <w:szCs w:val="21"/>
              </w:rPr>
              <w:t>终止经营净利润（净亏损以</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w:t>
            </w:r>
            <w:r>
              <w:rPr>
                <w:rFonts w:ascii="Times New Roman" w:eastAsia="宋体" w:hAnsi="Times New Roman" w:cs="Times New Roman"/>
                <w:szCs w:val="21"/>
              </w:rPr>
              <w:t>号填列）</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（二）按所有权归属分类</w:t>
            </w:r>
          </w:p>
        </w:tc>
        <w:tc>
          <w:tcPr>
            <w:tcW w:w="2552"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380CDC">
            <w:pPr>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1.</w:t>
            </w:r>
            <w:r>
              <w:rPr>
                <w:rFonts w:ascii="Times New Roman" w:eastAsia="宋体" w:hAnsi="Times New Roman" w:cs="Times New Roman"/>
                <w:szCs w:val="21"/>
              </w:rPr>
              <w:t>归属于母公司所有者的净利润</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 xml:space="preserve"> 42,567,795.73 </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27,206,530.54</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2.</w:t>
            </w:r>
            <w:r>
              <w:rPr>
                <w:rFonts w:ascii="Times New Roman" w:eastAsia="宋体" w:hAnsi="Times New Roman" w:cs="Times New Roman"/>
                <w:szCs w:val="21"/>
              </w:rPr>
              <w:t>少数股东损益</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-154,348.24</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-470,128.55</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六、其他综合收益的税后净额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2,882.36</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129.91</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归属母公司所有者的其他综合收益的税后净额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2,882.36</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129.91</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（一）不能重分类进损益的其他综合收益</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1.</w:t>
            </w:r>
            <w:r>
              <w:rPr>
                <w:rFonts w:ascii="Times New Roman" w:eastAsia="宋体" w:hAnsi="Times New Roman" w:cs="Times New Roman"/>
                <w:szCs w:val="21"/>
              </w:rPr>
              <w:t>重新计量设定受益计划变动额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2.</w:t>
            </w:r>
            <w:r>
              <w:rPr>
                <w:rFonts w:ascii="Times New Roman" w:eastAsia="宋体" w:hAnsi="Times New Roman" w:cs="Times New Roman"/>
                <w:szCs w:val="21"/>
              </w:rPr>
              <w:t>权益法下不能转损益的其他综合收益</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3.</w:t>
            </w:r>
            <w:r>
              <w:rPr>
                <w:rFonts w:ascii="Times New Roman" w:eastAsia="宋体" w:hAnsi="Times New Roman" w:cs="Times New Roman"/>
                <w:szCs w:val="21"/>
              </w:rPr>
              <w:t>其他权益工具投资公允价值变动</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4.</w:t>
            </w:r>
            <w:r>
              <w:rPr>
                <w:rFonts w:ascii="Times New Roman" w:eastAsia="宋体" w:hAnsi="Times New Roman" w:cs="Times New Roman"/>
                <w:szCs w:val="21"/>
              </w:rPr>
              <w:t>企业自身信用风险公允价值变动</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5.</w:t>
            </w:r>
            <w:r>
              <w:rPr>
                <w:rFonts w:ascii="Times New Roman" w:eastAsia="宋体" w:hAnsi="Times New Roman" w:cs="Times New Roman"/>
                <w:szCs w:val="21"/>
              </w:rPr>
              <w:t>其他</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（二）将重分类进损益的其他综合收益</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2,882.36</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129.91</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1.</w:t>
            </w:r>
            <w:r>
              <w:rPr>
                <w:rFonts w:ascii="Times New Roman" w:eastAsia="宋体" w:hAnsi="Times New Roman" w:cs="Times New Roman"/>
                <w:szCs w:val="21"/>
              </w:rPr>
              <w:t>权益法下可转损益的其他综合收益</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2.</w:t>
            </w:r>
            <w:r>
              <w:rPr>
                <w:rFonts w:ascii="Times New Roman" w:eastAsia="宋体" w:hAnsi="Times New Roman" w:cs="Times New Roman"/>
                <w:szCs w:val="21"/>
              </w:rPr>
              <w:t>其他债权投资公允价值变动</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655"/>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lastRenderedPageBreak/>
              <w:t>3.</w:t>
            </w:r>
            <w:r>
              <w:rPr>
                <w:rFonts w:ascii="Times New Roman" w:eastAsia="宋体" w:hAnsi="Times New Roman" w:cs="Times New Roman"/>
                <w:szCs w:val="21"/>
              </w:rPr>
              <w:t>金融资产重分类计入其他综合收益的金额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4.</w:t>
            </w:r>
            <w:r>
              <w:rPr>
                <w:rFonts w:ascii="Times New Roman" w:eastAsia="宋体" w:hAnsi="Times New Roman" w:cs="Times New Roman"/>
                <w:szCs w:val="21"/>
              </w:rPr>
              <w:t>其他债权投资信用减值准备</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5.</w:t>
            </w:r>
            <w:r>
              <w:rPr>
                <w:rFonts w:ascii="Times New Roman" w:eastAsia="宋体" w:hAnsi="Times New Roman" w:cs="Times New Roman"/>
                <w:szCs w:val="21"/>
              </w:rPr>
              <w:t>现金流量套期储备</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6.</w:t>
            </w:r>
            <w:r>
              <w:rPr>
                <w:rFonts w:ascii="Times New Roman" w:eastAsia="宋体" w:hAnsi="Times New Roman" w:cs="Times New Roman"/>
                <w:szCs w:val="21"/>
              </w:rPr>
              <w:t>外币财务报表折算差额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2,882.36</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129.91</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300" w:firstLine="630"/>
              <w:rPr>
                <w:rFonts w:ascii="Times New Roman" w:eastAsia="宋体" w:hAnsi="Times New Roman" w:cs="Times New Roman"/>
                <w:szCs w:val="21"/>
              </w:rPr>
            </w:pPr>
            <w:r>
              <w:rPr>
                <w:rFonts w:ascii="Times New Roman" w:eastAsia="宋体" w:hAnsi="Times New Roman" w:cs="Times New Roman"/>
                <w:szCs w:val="21"/>
              </w:rPr>
              <w:t>7.</w:t>
            </w:r>
            <w:r>
              <w:rPr>
                <w:rFonts w:ascii="Times New Roman" w:eastAsia="宋体" w:hAnsi="Times New Roman" w:cs="Times New Roman"/>
                <w:szCs w:val="21"/>
              </w:rPr>
              <w:t>其他</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归属于少数股东的其他综合收益的税后净额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七、综合收益总额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widowControl/>
              <w:jc w:val="right"/>
              <w:textAlignment w:val="center"/>
              <w:rPr>
                <w:rFonts w:ascii="Times New Roman" w:eastAsia="宋体" w:hAnsi="Times New Roman" w:cs="Times New Roman"/>
                <w:szCs w:val="21"/>
              </w:rPr>
            </w:pPr>
            <w:r w:rsidRPr="00E47BB4">
              <w:rPr>
                <w:rFonts w:ascii="Times New Roman" w:eastAsia="宋体" w:hAnsi="Times New Roman" w:cs="Times New Roman"/>
                <w:color w:val="000000"/>
                <w:kern w:val="0"/>
                <w:szCs w:val="21"/>
              </w:rPr>
              <w:t xml:space="preserve"> 42,416,329.85 </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26,736,531.90</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归属于母公司所有者的综合收益总额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widowControl/>
              <w:jc w:val="right"/>
              <w:textAlignment w:val="center"/>
              <w:rPr>
                <w:rFonts w:ascii="Times New Roman" w:eastAsia="宋体" w:hAnsi="Times New Roman" w:cs="Times New Roman"/>
                <w:szCs w:val="21"/>
              </w:rPr>
            </w:pPr>
            <w:r w:rsidRPr="00E47BB4">
              <w:rPr>
                <w:rFonts w:ascii="Times New Roman" w:eastAsia="宋体" w:hAnsi="Times New Roman" w:cs="Times New Roman"/>
                <w:color w:val="000000"/>
                <w:kern w:val="0"/>
                <w:szCs w:val="21"/>
              </w:rPr>
              <w:t xml:space="preserve"> 42,570,678.09 </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27,206,660.45</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归属于少数股东的综合收益总额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-154,348.24</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-470,128.55</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八、每股收益：</w:t>
            </w:r>
          </w:p>
        </w:tc>
        <w:tc>
          <w:tcPr>
            <w:tcW w:w="2552"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380CDC">
            <w:pPr>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380CDC">
            <w:pPr>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（一）基本每股收益</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0.04</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0.02</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（二）稀释每股收益</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0.04</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0.02</w:t>
            </w:r>
          </w:p>
        </w:tc>
      </w:tr>
    </w:tbl>
    <w:p w:rsidR="00380CDC" w:rsidRDefault="00071FC2">
      <w:pPr>
        <w:spacing w:line="360" w:lineRule="auto"/>
        <w:rPr>
          <w:rFonts w:ascii="Times New Roman" w:eastAsia="宋体" w:hAnsi="Times New Roman" w:cs="Times New Roman"/>
          <w:szCs w:val="21"/>
        </w:rPr>
      </w:pPr>
      <w:r>
        <w:rPr>
          <w:rFonts w:ascii="Times New Roman" w:eastAsia="宋体" w:hAnsi="Times New Roman" w:cs="Times New Roman"/>
          <w:szCs w:val="21"/>
        </w:rPr>
        <w:t>法定代表人：黄世春</w:t>
      </w:r>
      <w:r>
        <w:rPr>
          <w:rFonts w:ascii="Times New Roman" w:eastAsia="宋体" w:hAnsi="Times New Roman" w:cs="Times New Roman"/>
          <w:szCs w:val="21"/>
        </w:rPr>
        <w:t xml:space="preserve">                        </w:t>
      </w:r>
      <w:r>
        <w:rPr>
          <w:rFonts w:ascii="Times New Roman" w:eastAsia="宋体" w:hAnsi="Times New Roman" w:cs="Times New Roman"/>
          <w:szCs w:val="21"/>
        </w:rPr>
        <w:t>主管会计工作负责人：范迪曜</w:t>
      </w:r>
      <w:r>
        <w:rPr>
          <w:rFonts w:ascii="Times New Roman" w:eastAsia="宋体" w:hAnsi="Times New Roman" w:cs="Times New Roman"/>
          <w:szCs w:val="21"/>
        </w:rPr>
        <w:t xml:space="preserve">                        </w:t>
      </w:r>
      <w:r>
        <w:rPr>
          <w:rFonts w:ascii="Times New Roman" w:eastAsia="宋体" w:hAnsi="Times New Roman" w:cs="Times New Roman"/>
          <w:szCs w:val="21"/>
        </w:rPr>
        <w:t>会计机构负责人：赵本林</w:t>
      </w:r>
    </w:p>
    <w:p w:rsidR="00380CDC" w:rsidRDefault="00071FC2">
      <w:pPr>
        <w:pStyle w:val="3"/>
        <w:spacing w:line="280" w:lineRule="exact"/>
        <w:jc w:val="left"/>
        <w:rPr>
          <w:rFonts w:ascii="Times New Roman" w:hAnsi="Times New Roman" w:cs="Times New Roman"/>
          <w:b/>
          <w:bCs/>
        </w:rPr>
      </w:pPr>
      <w:bookmarkStart w:id="13" w:name="_Toc988901"/>
      <w:r>
        <w:rPr>
          <w:rFonts w:ascii="Times New Roman" w:hAnsi="Times New Roman" w:cs="Times New Roman"/>
          <w:b/>
          <w:bCs/>
        </w:rPr>
        <w:t>3</w:t>
      </w:r>
      <w:r>
        <w:rPr>
          <w:rFonts w:ascii="Times New Roman" w:hAnsi="Times New Roman" w:cs="Times New Roman"/>
          <w:b/>
          <w:bCs/>
        </w:rPr>
        <w:t>、合并现金流量表</w:t>
      </w:r>
      <w:bookmarkEnd w:id="13"/>
    </w:p>
    <w:p w:rsidR="00380CDC" w:rsidRDefault="00071FC2">
      <w:pPr>
        <w:spacing w:line="360" w:lineRule="auto"/>
        <w:jc w:val="right"/>
        <w:rPr>
          <w:rFonts w:ascii="Times New Roman" w:eastAsia="宋体" w:hAnsi="Times New Roman" w:cs="Times New Roman"/>
          <w:szCs w:val="21"/>
        </w:rPr>
      </w:pPr>
      <w:r>
        <w:rPr>
          <w:rFonts w:ascii="Times New Roman" w:eastAsia="宋体" w:hAnsi="Times New Roman" w:cs="Times New Roman"/>
          <w:szCs w:val="21"/>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679"/>
        <w:gridCol w:w="2552"/>
        <w:gridCol w:w="2408"/>
      </w:tblGrid>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jc w:val="center"/>
              <w:rPr>
                <w:rFonts w:ascii="Times New Roman" w:eastAsia="宋体" w:hAnsi="Times New Roman" w:cs="Times New Roman"/>
                <w:szCs w:val="21"/>
              </w:rPr>
            </w:pPr>
            <w:r>
              <w:rPr>
                <w:rFonts w:ascii="Times New Roman" w:eastAsia="宋体" w:hAnsi="Times New Roman" w:cs="Times New Roman"/>
                <w:szCs w:val="21"/>
              </w:rPr>
              <w:t>项目</w:t>
            </w:r>
          </w:p>
        </w:tc>
        <w:tc>
          <w:tcPr>
            <w:tcW w:w="2552"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071FC2">
            <w:pPr>
              <w:spacing w:line="240" w:lineRule="exact"/>
              <w:jc w:val="center"/>
              <w:rPr>
                <w:rFonts w:ascii="Times New Roman" w:eastAsia="宋体" w:hAnsi="Times New Roman" w:cs="Times New Roman"/>
                <w:szCs w:val="21"/>
              </w:rPr>
            </w:pPr>
            <w:r w:rsidRPr="00E47BB4">
              <w:rPr>
                <w:rFonts w:ascii="Times New Roman" w:eastAsia="宋体" w:hAnsi="Times New Roman" w:cs="Times New Roman"/>
                <w:szCs w:val="21"/>
              </w:rPr>
              <w:t>本期发生额</w:t>
            </w:r>
          </w:p>
        </w:tc>
        <w:tc>
          <w:tcPr>
            <w:tcW w:w="2408"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071FC2">
            <w:pPr>
              <w:spacing w:line="240" w:lineRule="exact"/>
              <w:jc w:val="center"/>
              <w:rPr>
                <w:rFonts w:ascii="Times New Roman" w:eastAsia="宋体" w:hAnsi="Times New Roman" w:cs="Times New Roman"/>
                <w:szCs w:val="21"/>
              </w:rPr>
            </w:pPr>
            <w:r w:rsidRPr="00E47BB4">
              <w:rPr>
                <w:rFonts w:ascii="Times New Roman" w:eastAsia="宋体" w:hAnsi="Times New Roman" w:cs="Times New Roman"/>
                <w:szCs w:val="21"/>
              </w:rPr>
              <w:t>上期发生额</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一、经营活动产生的现金流量：</w:t>
            </w:r>
          </w:p>
        </w:tc>
        <w:tc>
          <w:tcPr>
            <w:tcW w:w="2552"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380CDC">
            <w:pPr>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380CDC">
            <w:pPr>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销售商品、提供劳务收到的现金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970,310,681.19</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569,656,036.88</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客户存款和同业存放款项净增加额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向中央银行借款净增加额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向其他金融机构拆入资金净增加额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收到原保险合同保费取得的现金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收到再保业务现金净额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保户储金及投资款净增加额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收取利息、手续费及佣金的现金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拆入资金净增加额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回购业务资金净增加额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代理买卖证券收到的现金净额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lastRenderedPageBreak/>
              <w:t>收到的税费返还</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507,188.13</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收到其他与经营活动有关的现金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3,618,808.90</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6,886,916.96</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经营活动现金流入小计</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973,929,490.09</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577,050,141.97</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购买商品、接受劳务支付的现金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786,012,614.77</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526,173,458.33</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客户贷款及垫款净增加额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存放中央银行和同业款项净增加额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支付原保险合同赔付款项的现金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拆出资金净增加额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支付利息、手续费及佣金的现金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支付保单红利的现金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支付给职工以及为职工支付的现金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145,978,014.66</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137,035,744.98</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支付的各项税费</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25,458,064.95</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66,448,738.12</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支付其他与经营活动有关的现金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22,223,267.56</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23,244,010.37</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经营活动现金流出小计</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979,671,961.94</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752,901,951.80</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经营活动产生的现金流量净额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-5,742,471.85</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-175,851,809.83</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二、投资活动产生的现金流量：</w:t>
            </w:r>
          </w:p>
        </w:tc>
        <w:tc>
          <w:tcPr>
            <w:tcW w:w="2552"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380CDC">
            <w:pPr>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380CDC">
            <w:pPr>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收回投资收到的现金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取得投资收益收到的现金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639"/>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处置固定资产、无形资产和其他长期资产收回的现金净额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1,343,624.50</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916,508.80</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处置子公司及其他营业单位收到的现金净额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收到其他与投资活动有关的现金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投资活动现金流入小计</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1,343,624.50</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916,508.80</w:t>
            </w:r>
          </w:p>
        </w:tc>
      </w:tr>
      <w:tr w:rsidR="00380CDC">
        <w:trPr>
          <w:trHeight w:val="669"/>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购建固定资产、无形资产和其他长期资产支付的现金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55,389,294.19</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77,743,741.79</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投资支付的现金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1,000,000.00</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1,700,000.00</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质押贷款净增加额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取得子公司及其他营业单位支付的现金净额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支付其他与投资活动有关的现金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投资活动现金流出小计</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56,389,294.19</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79,443,741.79</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投资活动产生的现金流量净额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-55,045,669.69</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-78,527,232.99</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lastRenderedPageBreak/>
              <w:t>三、筹资活动产生的现金流量：</w:t>
            </w:r>
          </w:p>
        </w:tc>
        <w:tc>
          <w:tcPr>
            <w:tcW w:w="2552"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380CDC">
            <w:pPr>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Pr="00E47BB4" w:rsidRDefault="00380CDC">
            <w:pPr>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吸收投资收到的现金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250,000.00</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其中：子公司吸收少数股东投资收到的现金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250,000.00</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取得借款收到的现金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300,463,230.00</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729,995,000.00</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收到其他与筹资活动有关的现金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2,000,000.00</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25,000,000.00</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筹资活动现金流入小计</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302,463,230.00</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755,245,000.00</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before="40" w:after="40"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偿还债务支付的现金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313,300,000.00</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610,600,000.00</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分配股利、利润或偿付利息支付的现金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19,574,062.62</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23,272,490.42</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200" w:firstLine="420"/>
              <w:rPr>
                <w:rFonts w:ascii="Times New Roman" w:eastAsia="宋体" w:hAnsi="Times New Roman" w:cs="Times New Roman"/>
                <w:szCs w:val="21"/>
              </w:rPr>
            </w:pPr>
            <w:r>
              <w:rPr>
                <w:rFonts w:ascii="Times New Roman" w:eastAsia="宋体" w:hAnsi="Times New Roman" w:cs="Times New Roman"/>
                <w:szCs w:val="21"/>
              </w:rPr>
              <w:t>其中：子公司支付给少数股东的股利、利润</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380CDC">
            <w:pPr>
              <w:spacing w:line="240" w:lineRule="exact"/>
              <w:jc w:val="right"/>
              <w:rPr>
                <w:rFonts w:ascii="Times New Roman" w:eastAsia="宋体" w:hAnsi="Times New Roman" w:cs="Times New Roman"/>
                <w:szCs w:val="21"/>
              </w:rPr>
            </w:pP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支付其他与筹资活动有关的现金</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5,471,132.82</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34,278,964.42</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筹资活动现金流出小计</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338,345,195.44</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668,151,454.84</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筹资活动产生的现金流量净额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-35,881,965.44</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87,093,545.16</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四、汇率变动对现金及现金等价物的影响</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349,785.82</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310,546.92</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五、现金及现金等价物净增加额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-96,320,321.16</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-166,974,950.74</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ind w:firstLineChars="100" w:firstLine="210"/>
              <w:rPr>
                <w:rFonts w:ascii="Times New Roman" w:eastAsia="宋体" w:hAnsi="Times New Roman" w:cs="Times New Roman"/>
                <w:szCs w:val="21"/>
              </w:rPr>
            </w:pPr>
            <w:r>
              <w:rPr>
                <w:rFonts w:ascii="Times New Roman" w:eastAsia="宋体" w:hAnsi="Times New Roman" w:cs="Times New Roman"/>
                <w:szCs w:val="21"/>
              </w:rPr>
              <w:t>加：期初现金及现金等价物余额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370,312,513.18</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514,335,655.21</w:t>
            </w:r>
          </w:p>
        </w:tc>
      </w:tr>
      <w:tr w:rsidR="00380CDC">
        <w:trPr>
          <w:trHeight w:val="454"/>
          <w:jc w:val="center"/>
        </w:trPr>
        <w:tc>
          <w:tcPr>
            <w:tcW w:w="4679" w:type="dxa"/>
            <w:tcBorders>
              <w:top w:val="single" w:sz="2" w:space="0" w:color="auto"/>
              <w:left w:val="single" w:sz="2" w:space="0" w:color="auto"/>
              <w:bottom w:val="single" w:sz="2" w:space="0" w:color="auto"/>
              <w:right w:val="single" w:sz="2" w:space="0" w:color="auto"/>
            </w:tcBorders>
            <w:shd w:val="clear" w:color="auto" w:fill="D3D3D3"/>
            <w:vAlign w:val="center"/>
          </w:tcPr>
          <w:p w:rsidR="00380CDC" w:rsidRDefault="00071FC2">
            <w:pPr>
              <w:spacing w:line="240" w:lineRule="exact"/>
              <w:rPr>
                <w:rFonts w:ascii="Times New Roman" w:eastAsia="宋体" w:hAnsi="Times New Roman" w:cs="Times New Roman"/>
                <w:szCs w:val="21"/>
              </w:rPr>
            </w:pPr>
            <w:r>
              <w:rPr>
                <w:rFonts w:ascii="Times New Roman" w:eastAsia="宋体" w:hAnsi="Times New Roman" w:cs="Times New Roman"/>
                <w:szCs w:val="21"/>
              </w:rPr>
              <w:t>六、期末现金及现金等价物余额</w:t>
            </w:r>
          </w:p>
        </w:tc>
        <w:tc>
          <w:tcPr>
            <w:tcW w:w="2552"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273,992,192.02</w:t>
            </w:r>
          </w:p>
        </w:tc>
        <w:tc>
          <w:tcPr>
            <w:tcW w:w="2408" w:type="dxa"/>
            <w:tcBorders>
              <w:top w:val="single" w:sz="2" w:space="0" w:color="auto"/>
              <w:left w:val="single" w:sz="2" w:space="0" w:color="auto"/>
              <w:bottom w:val="single" w:sz="2" w:space="0" w:color="auto"/>
              <w:right w:val="single" w:sz="2" w:space="0" w:color="auto"/>
            </w:tcBorders>
            <w:vAlign w:val="center"/>
          </w:tcPr>
          <w:p w:rsidR="00380CDC" w:rsidRPr="00E47BB4" w:rsidRDefault="00071FC2">
            <w:pPr>
              <w:spacing w:line="240" w:lineRule="exact"/>
              <w:jc w:val="right"/>
              <w:rPr>
                <w:rFonts w:ascii="Times New Roman" w:eastAsia="宋体" w:hAnsi="Times New Roman" w:cs="Times New Roman"/>
                <w:szCs w:val="21"/>
              </w:rPr>
            </w:pPr>
            <w:r w:rsidRPr="00E47BB4">
              <w:rPr>
                <w:rFonts w:ascii="Times New Roman" w:eastAsia="宋体" w:hAnsi="Times New Roman" w:cs="Times New Roman"/>
                <w:szCs w:val="21"/>
              </w:rPr>
              <w:t>347,360,704.47</w:t>
            </w:r>
          </w:p>
        </w:tc>
      </w:tr>
    </w:tbl>
    <w:p w:rsidR="00380CDC" w:rsidRDefault="00071FC2">
      <w:pPr>
        <w:pStyle w:val="2"/>
        <w:spacing w:beforeLines="50" w:afterLines="50" w:line="360" w:lineRule="auto"/>
        <w:rPr>
          <w:rFonts w:ascii="Times New Roman" w:eastAsia="宋体" w:hAnsi="Times New Roman" w:cs="Times New Roman"/>
          <w:b/>
          <w:bCs/>
          <w:sz w:val="24"/>
          <w:szCs w:val="24"/>
        </w:rPr>
      </w:pPr>
      <w:bookmarkStart w:id="14" w:name="_Toc988902"/>
      <w:r>
        <w:rPr>
          <w:rFonts w:ascii="Times New Roman" w:eastAsia="宋体" w:hAnsi="Times New Roman" w:cs="Times New Roman"/>
          <w:b/>
          <w:bCs/>
          <w:sz w:val="24"/>
          <w:szCs w:val="24"/>
        </w:rPr>
        <w:t>（二）</w:t>
      </w:r>
      <w:r>
        <w:rPr>
          <w:rFonts w:ascii="Times New Roman" w:eastAsia="宋体" w:hAnsi="Times New Roman" w:cs="Times New Roman"/>
          <w:b/>
          <w:bCs/>
          <w:sz w:val="24"/>
          <w:szCs w:val="24"/>
        </w:rPr>
        <w:t xml:space="preserve"> 2025</w:t>
      </w:r>
      <w:r>
        <w:rPr>
          <w:rFonts w:ascii="Times New Roman" w:eastAsia="宋体" w:hAnsi="Times New Roman" w:cs="Times New Roman"/>
          <w:b/>
          <w:bCs/>
          <w:sz w:val="24"/>
          <w:szCs w:val="24"/>
        </w:rPr>
        <w:t>年起首次执行新会计准则调整首次执行当年年初财务报表相关项目情况</w:t>
      </w:r>
      <w:bookmarkEnd w:id="14"/>
    </w:p>
    <w:p w:rsidR="00380CDC" w:rsidRDefault="00071FC2">
      <w:pPr>
        <w:spacing w:beforeLines="50" w:before="156" w:afterLines="50" w:after="156" w:line="360" w:lineRule="auto"/>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适用</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sym w:font="Wingdings 2" w:char="F052"/>
      </w:r>
      <w:r>
        <w:rPr>
          <w:rFonts w:ascii="Times New Roman" w:eastAsia="宋体" w:hAnsi="Times New Roman" w:cs="Times New Roman"/>
          <w:sz w:val="24"/>
          <w:szCs w:val="24"/>
        </w:rPr>
        <w:t>不适用</w:t>
      </w:r>
    </w:p>
    <w:p w:rsidR="00380CDC" w:rsidRDefault="00071FC2">
      <w:pPr>
        <w:pStyle w:val="2"/>
        <w:spacing w:beforeLines="50" w:afterLines="50" w:line="360" w:lineRule="auto"/>
        <w:rPr>
          <w:rFonts w:ascii="Times New Roman" w:eastAsia="宋体" w:hAnsi="Times New Roman" w:cs="Times New Roman"/>
          <w:b/>
          <w:bCs/>
          <w:sz w:val="24"/>
          <w:szCs w:val="24"/>
        </w:rPr>
      </w:pPr>
      <w:bookmarkStart w:id="15" w:name="_Toc988903"/>
      <w:r>
        <w:rPr>
          <w:rFonts w:ascii="Times New Roman" w:eastAsia="宋体" w:hAnsi="Times New Roman" w:cs="Times New Roman"/>
          <w:b/>
          <w:bCs/>
          <w:sz w:val="24"/>
          <w:szCs w:val="24"/>
        </w:rPr>
        <w:t>（三）</w:t>
      </w:r>
      <w:r>
        <w:rPr>
          <w:rFonts w:ascii="Times New Roman" w:eastAsia="宋体" w:hAnsi="Times New Roman" w:cs="Times New Roman"/>
          <w:b/>
          <w:bCs/>
          <w:sz w:val="24"/>
          <w:szCs w:val="24"/>
        </w:rPr>
        <w:t xml:space="preserve"> </w:t>
      </w:r>
      <w:r>
        <w:rPr>
          <w:rFonts w:ascii="Times New Roman" w:eastAsia="宋体" w:hAnsi="Times New Roman" w:cs="Times New Roman"/>
          <w:b/>
          <w:bCs/>
          <w:sz w:val="24"/>
          <w:szCs w:val="24"/>
        </w:rPr>
        <w:t>审计报告</w:t>
      </w:r>
      <w:bookmarkEnd w:id="15"/>
    </w:p>
    <w:p w:rsidR="00380CDC" w:rsidRDefault="00071FC2">
      <w:pPr>
        <w:spacing w:beforeLines="50" w:before="156" w:afterLines="50" w:after="156" w:line="360" w:lineRule="auto"/>
        <w:rPr>
          <w:rFonts w:ascii="Times New Roman" w:eastAsia="宋体" w:hAnsi="Times New Roman" w:cs="Times New Roman"/>
          <w:b/>
          <w:sz w:val="24"/>
          <w:szCs w:val="24"/>
        </w:rPr>
      </w:pPr>
      <w:r>
        <w:rPr>
          <w:rFonts w:ascii="Times New Roman" w:eastAsia="宋体" w:hAnsi="Times New Roman" w:cs="Times New Roman"/>
          <w:b/>
          <w:sz w:val="24"/>
          <w:szCs w:val="24"/>
        </w:rPr>
        <w:t>第一季度报告是否经过审计</w:t>
      </w:r>
    </w:p>
    <w:p w:rsidR="00380CDC" w:rsidRDefault="00071FC2">
      <w:pPr>
        <w:spacing w:beforeLines="50" w:before="156" w:afterLines="50" w:after="156" w:line="360" w:lineRule="auto"/>
        <w:rPr>
          <w:rFonts w:ascii="Times New Roman" w:eastAsia="宋体" w:hAnsi="Times New Roman" w:cs="Times New Roman"/>
          <w:sz w:val="24"/>
          <w:szCs w:val="24"/>
        </w:rPr>
      </w:pPr>
      <w:r>
        <w:rPr>
          <w:rFonts w:ascii="Times New Roman" w:eastAsia="宋体" w:hAnsi="Times New Roman" w:cs="Times New Roman"/>
          <w:sz w:val="24"/>
          <w:szCs w:val="24"/>
        </w:rPr>
        <w:t>□</w:t>
      </w:r>
      <w:r>
        <w:rPr>
          <w:rFonts w:ascii="Times New Roman" w:eastAsia="宋体" w:hAnsi="Times New Roman" w:cs="Times New Roman"/>
          <w:sz w:val="24"/>
          <w:szCs w:val="24"/>
        </w:rPr>
        <w:t>是</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sym w:font="Wingdings 2" w:char="F052"/>
      </w:r>
      <w:r>
        <w:rPr>
          <w:rFonts w:ascii="Times New Roman" w:eastAsia="宋体" w:hAnsi="Times New Roman" w:cs="Times New Roman"/>
          <w:sz w:val="24"/>
          <w:szCs w:val="24"/>
        </w:rPr>
        <w:t>否</w:t>
      </w:r>
    </w:p>
    <w:p w:rsidR="00380CDC" w:rsidRDefault="00071FC2">
      <w:pPr>
        <w:spacing w:beforeLines="50" w:before="156" w:afterLines="50" w:after="156"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公司第一季度报告未经审计。</w:t>
      </w:r>
    </w:p>
    <w:p w:rsidR="00380CDC" w:rsidRDefault="00380CDC">
      <w:pPr>
        <w:spacing w:beforeLines="50" w:before="156" w:afterLines="50" w:after="156" w:line="360" w:lineRule="auto"/>
        <w:rPr>
          <w:rFonts w:ascii="Times New Roman" w:eastAsia="宋体" w:hAnsi="Times New Roman" w:cs="Times New Roman"/>
          <w:sz w:val="24"/>
          <w:szCs w:val="24"/>
        </w:rPr>
      </w:pPr>
    </w:p>
    <w:p w:rsidR="00380CDC" w:rsidRDefault="00380CDC">
      <w:pPr>
        <w:spacing w:beforeLines="50" w:before="156" w:afterLines="50" w:after="156" w:line="360" w:lineRule="auto"/>
        <w:rPr>
          <w:rFonts w:ascii="Times New Roman" w:eastAsia="宋体" w:hAnsi="Times New Roman" w:cs="Times New Roman"/>
          <w:sz w:val="24"/>
          <w:szCs w:val="24"/>
        </w:rPr>
      </w:pPr>
    </w:p>
    <w:p w:rsidR="00380CDC" w:rsidRDefault="00071FC2">
      <w:pPr>
        <w:spacing w:before="40" w:after="40" w:line="360" w:lineRule="auto"/>
        <w:jc w:val="right"/>
        <w:rPr>
          <w:rFonts w:ascii="Times New Roman" w:eastAsia="宋体" w:hAnsi="Times New Roman" w:cs="Times New Roman"/>
          <w:sz w:val="24"/>
          <w:szCs w:val="24"/>
        </w:rPr>
      </w:pPr>
      <w:r>
        <w:rPr>
          <w:rFonts w:ascii="Times New Roman" w:eastAsia="宋体" w:hAnsi="Times New Roman" w:cs="Times New Roman"/>
          <w:sz w:val="24"/>
          <w:szCs w:val="24"/>
        </w:rPr>
        <w:t>崇义章源钨业股份有限公司董事会</w:t>
      </w:r>
    </w:p>
    <w:p w:rsidR="00380CDC" w:rsidRDefault="00071FC2">
      <w:pPr>
        <w:spacing w:before="40" w:after="40"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t xml:space="preserve">                                                                                                 </w:t>
      </w:r>
      <w:r w:rsidR="00D97556">
        <w:rPr>
          <w:rFonts w:ascii="Times New Roman" w:eastAsia="宋体" w:hAnsi="Times New Roman" w:cs="Times New Roman"/>
          <w:sz w:val="24"/>
          <w:szCs w:val="24"/>
        </w:rPr>
        <w:t xml:space="preserve">  </w:t>
      </w:r>
      <w:r>
        <w:rPr>
          <w:rFonts w:ascii="Times New Roman" w:eastAsia="宋体" w:hAnsi="Times New Roman" w:cs="Times New Roman"/>
          <w:sz w:val="24"/>
          <w:szCs w:val="24"/>
        </w:rPr>
        <w:t>2025</w:t>
      </w:r>
      <w:r>
        <w:rPr>
          <w:rFonts w:ascii="Times New Roman" w:eastAsia="宋体" w:hAnsi="Times New Roman" w:cs="Times New Roman"/>
          <w:sz w:val="24"/>
          <w:szCs w:val="24"/>
        </w:rPr>
        <w:t>年</w:t>
      </w:r>
      <w:r>
        <w:rPr>
          <w:rFonts w:ascii="Times New Roman" w:eastAsia="宋体" w:hAnsi="Times New Roman" w:cs="Times New Roman"/>
          <w:sz w:val="24"/>
          <w:szCs w:val="24"/>
        </w:rPr>
        <w:t>4</w:t>
      </w:r>
      <w:r>
        <w:rPr>
          <w:rFonts w:ascii="Times New Roman" w:eastAsia="宋体" w:hAnsi="Times New Roman" w:cs="Times New Roman"/>
          <w:sz w:val="24"/>
          <w:szCs w:val="24"/>
        </w:rPr>
        <w:t>月</w:t>
      </w:r>
      <w:r>
        <w:rPr>
          <w:rFonts w:ascii="Times New Roman" w:eastAsia="宋体" w:hAnsi="Times New Roman" w:cs="Times New Roman"/>
          <w:sz w:val="24"/>
          <w:szCs w:val="24"/>
        </w:rPr>
        <w:t>29</w:t>
      </w:r>
      <w:r>
        <w:rPr>
          <w:rFonts w:ascii="Times New Roman" w:eastAsia="宋体" w:hAnsi="Times New Roman" w:cs="Times New Roman"/>
          <w:sz w:val="24"/>
          <w:szCs w:val="24"/>
        </w:rPr>
        <w:t>日</w:t>
      </w:r>
    </w:p>
    <w:p w:rsidR="00380CDC" w:rsidRDefault="00380CDC">
      <w:pPr>
        <w:spacing w:line="240" w:lineRule="exact"/>
        <w:jc w:val="right"/>
        <w:rPr>
          <w:rFonts w:ascii="Times New Roman" w:eastAsia="宋体" w:hAnsi="Times New Roman" w:cs="Times New Roman"/>
          <w:sz w:val="18"/>
          <w:szCs w:val="18"/>
        </w:rPr>
      </w:pPr>
    </w:p>
    <w:sectPr w:rsidR="00380CDC">
      <w:headerReference w:type="default" r:id="rId7"/>
      <w:footerReference w:type="default" r:id="rId8"/>
      <w:pgSz w:w="11905" w:h="16840"/>
      <w:pgMar w:top="1440" w:right="1134" w:bottom="1440" w:left="1134" w:header="850" w:footer="992"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535" w:rsidRDefault="00896535">
      <w:r>
        <w:separator/>
      </w:r>
    </w:p>
  </w:endnote>
  <w:endnote w:type="continuationSeparator" w:id="0">
    <w:p w:rsidR="00896535" w:rsidRDefault="00896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FC2" w:rsidRDefault="00071FC2">
    <w:pPr>
      <w:pStyle w:val="fotter1"/>
      <w:jc w:val="center"/>
    </w:pPr>
    <w:r>
      <w:fldChar w:fldCharType="begin"/>
    </w:r>
    <w:r>
      <w:instrText>PAGE   \* MERGEFORMAT</w:instrText>
    </w:r>
    <w:r>
      <w:fldChar w:fldCharType="separate"/>
    </w:r>
    <w:r w:rsidR="007B770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535" w:rsidRDefault="00896535">
      <w:r>
        <w:separator/>
      </w:r>
    </w:p>
  </w:footnote>
  <w:footnote w:type="continuationSeparator" w:id="0">
    <w:p w:rsidR="00896535" w:rsidRDefault="00896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FC2" w:rsidRDefault="00071FC2">
    <w:pPr>
      <w:pStyle w:val="Header1"/>
      <w:pBdr>
        <w:bottom w:val="single" w:sz="6" w:space="1" w:color="auto"/>
      </w:pBdr>
      <w:rPr>
        <w:rFonts w:ascii="Times New Roman" w:hAnsi="Times New Roman" w:cs="Times New Roman"/>
      </w:rPr>
    </w:pPr>
    <w:r>
      <w:rPr>
        <w:rFonts w:ascii="Times New Roman" w:hAnsi="Times New Roman" w:cs="Times New Roman"/>
      </w:rPr>
      <w:t>崇义章源钨业股份有限公司</w:t>
    </w:r>
    <w:r>
      <w:rPr>
        <w:rFonts w:ascii="Times New Roman" w:hAnsi="Times New Roman" w:cs="Times New Roman"/>
      </w:rPr>
      <w:t>2025</w:t>
    </w:r>
    <w:r>
      <w:rPr>
        <w:rFonts w:ascii="Times New Roman" w:hAnsi="Times New Roman" w:cs="Times New Roman"/>
      </w:rPr>
      <w:t>年第一季度报告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037"/>
    <w:rsid w:val="00015E60"/>
    <w:rsid w:val="00071FC2"/>
    <w:rsid w:val="00085435"/>
    <w:rsid w:val="000A40D2"/>
    <w:rsid w:val="000B1A0B"/>
    <w:rsid w:val="000B5574"/>
    <w:rsid w:val="000C566F"/>
    <w:rsid w:val="001549C4"/>
    <w:rsid w:val="001C0841"/>
    <w:rsid w:val="001C433B"/>
    <w:rsid w:val="001E58AA"/>
    <w:rsid w:val="002B7391"/>
    <w:rsid w:val="003102EF"/>
    <w:rsid w:val="003206AF"/>
    <w:rsid w:val="00380CDC"/>
    <w:rsid w:val="003B2A18"/>
    <w:rsid w:val="0041601C"/>
    <w:rsid w:val="004B1626"/>
    <w:rsid w:val="004B32A6"/>
    <w:rsid w:val="00513D4C"/>
    <w:rsid w:val="005923D9"/>
    <w:rsid w:val="00675CAF"/>
    <w:rsid w:val="00684677"/>
    <w:rsid w:val="006D7CFF"/>
    <w:rsid w:val="007B770D"/>
    <w:rsid w:val="007E7C6B"/>
    <w:rsid w:val="008147D7"/>
    <w:rsid w:val="00816C87"/>
    <w:rsid w:val="00841597"/>
    <w:rsid w:val="00845AF7"/>
    <w:rsid w:val="00891392"/>
    <w:rsid w:val="00896535"/>
    <w:rsid w:val="008A1EDC"/>
    <w:rsid w:val="008A5E00"/>
    <w:rsid w:val="008F4B44"/>
    <w:rsid w:val="00911902"/>
    <w:rsid w:val="009D774E"/>
    <w:rsid w:val="00A30E26"/>
    <w:rsid w:val="00A44C7A"/>
    <w:rsid w:val="00A52AB7"/>
    <w:rsid w:val="00A705D2"/>
    <w:rsid w:val="00B00AB5"/>
    <w:rsid w:val="00B60D85"/>
    <w:rsid w:val="00B923D5"/>
    <w:rsid w:val="00B96D46"/>
    <w:rsid w:val="00BA013F"/>
    <w:rsid w:val="00BA4A30"/>
    <w:rsid w:val="00BD0E58"/>
    <w:rsid w:val="00C45368"/>
    <w:rsid w:val="00C81AB8"/>
    <w:rsid w:val="00C9776D"/>
    <w:rsid w:val="00CB7C53"/>
    <w:rsid w:val="00CC7C45"/>
    <w:rsid w:val="00D97556"/>
    <w:rsid w:val="00E47BB4"/>
    <w:rsid w:val="00F32037"/>
    <w:rsid w:val="00F33F79"/>
    <w:rsid w:val="00FB4547"/>
    <w:rsid w:val="00FC455C"/>
    <w:rsid w:val="00FD60AB"/>
    <w:rsid w:val="058E4E74"/>
    <w:rsid w:val="05E7509A"/>
    <w:rsid w:val="137259F7"/>
    <w:rsid w:val="15324BD3"/>
    <w:rsid w:val="17C057A1"/>
    <w:rsid w:val="17FD06B8"/>
    <w:rsid w:val="1A9C5222"/>
    <w:rsid w:val="1B4C6103"/>
    <w:rsid w:val="1C9571A6"/>
    <w:rsid w:val="25235318"/>
    <w:rsid w:val="27B16E5E"/>
    <w:rsid w:val="2C7D51A6"/>
    <w:rsid w:val="2F652FB2"/>
    <w:rsid w:val="2FA972B4"/>
    <w:rsid w:val="30256B0E"/>
    <w:rsid w:val="322A2CB3"/>
    <w:rsid w:val="3BE14517"/>
    <w:rsid w:val="3C186550"/>
    <w:rsid w:val="3D7F5103"/>
    <w:rsid w:val="3D9760C1"/>
    <w:rsid w:val="3E530817"/>
    <w:rsid w:val="3F56435D"/>
    <w:rsid w:val="4497145E"/>
    <w:rsid w:val="45146AA5"/>
    <w:rsid w:val="4C551ADA"/>
    <w:rsid w:val="4CAE48F7"/>
    <w:rsid w:val="509E0D0D"/>
    <w:rsid w:val="53B3700D"/>
    <w:rsid w:val="54C86614"/>
    <w:rsid w:val="5D6D0C6B"/>
    <w:rsid w:val="6B432DF6"/>
    <w:rsid w:val="78466DFA"/>
    <w:rsid w:val="7A69232D"/>
    <w:rsid w:val="7F0671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85C3C80"/>
  <w15:docId w15:val="{1FF4FA5A-532A-42E6-A735-3E4B40038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rFonts w:asciiTheme="minorHAnsi" w:eastAsiaTheme="minorEastAsia" w:hAnsiTheme="minorHAnsi" w:cstheme="minorBidi"/>
      <w:kern w:val="2"/>
      <w:sz w:val="21"/>
      <w:szCs w:val="22"/>
    </w:rPr>
  </w:style>
  <w:style w:type="paragraph" w:styleId="2">
    <w:name w:val="heading 2"/>
    <w:basedOn w:val="a"/>
    <w:next w:val="a"/>
    <w:uiPriority w:val="9"/>
    <w:unhideWhenUsed/>
    <w:qFormat/>
    <w:pPr>
      <w:keepNext/>
      <w:keepLines/>
      <w:spacing w:before="156" w:after="156"/>
      <w:outlineLvl w:val="1"/>
    </w:pPr>
    <w:rPr>
      <w:szCs w:val="21"/>
    </w:rPr>
  </w:style>
  <w:style w:type="paragraph" w:styleId="3">
    <w:name w:val="heading 3"/>
    <w:basedOn w:val="a"/>
    <w:next w:val="a"/>
    <w:uiPriority w:val="9"/>
    <w:unhideWhenUsed/>
    <w:qFormat/>
    <w:pPr>
      <w:keepNext/>
      <w:keepLines/>
      <w:spacing w:before="300" w:after="300" w:line="241" w:lineRule="auto"/>
      <w:jc w:val="both"/>
      <w:outlineLvl w:val="2"/>
    </w:pPr>
    <w:rPr>
      <w:rFonts w:eastAsia="宋体"/>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qFormat/>
    <w:rPr>
      <w:rFonts w:ascii="宋体" w:eastAsia="宋体"/>
      <w:sz w:val="18"/>
      <w:szCs w:val="18"/>
    </w:r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style>
  <w:style w:type="paragraph" w:styleId="TOC2">
    <w:name w:val="toc 2"/>
    <w:basedOn w:val="a"/>
    <w:next w:val="a"/>
    <w:autoRedefine/>
    <w:uiPriority w:val="39"/>
    <w:unhideWhenUsed/>
    <w:qFormat/>
    <w:pPr>
      <w:ind w:leftChars="200" w:left="420"/>
    </w:pPr>
  </w:style>
  <w:style w:type="paragraph" w:styleId="ab">
    <w:name w:val="Normal (Web)"/>
    <w:basedOn w:val="a"/>
    <w:uiPriority w:val="99"/>
    <w:unhideWhenUsed/>
    <w:qFormat/>
    <w:pPr>
      <w:widowControl/>
      <w:spacing w:before="100" w:beforeAutospacing="1" w:after="100" w:afterAutospacing="1"/>
    </w:pPr>
    <w:rPr>
      <w:rFonts w:ascii="宋体" w:eastAsia="宋体" w:hAnsi="宋体" w:cs="宋体"/>
      <w:kern w:val="0"/>
      <w:sz w:val="24"/>
      <w:szCs w:val="24"/>
    </w:rPr>
  </w:style>
  <w:style w:type="paragraph" w:customStyle="1" w:styleId="Header1">
    <w:name w:val="Header 1"/>
    <w:qFormat/>
    <w:pPr>
      <w:jc w:val="right"/>
    </w:pPr>
    <w:rPr>
      <w:rFonts w:ascii="宋体" w:hAnsiTheme="minorHAnsi" w:cstheme="minorBidi"/>
      <w:kern w:val="2"/>
      <w:sz w:val="18"/>
      <w:szCs w:val="18"/>
    </w:rPr>
  </w:style>
  <w:style w:type="paragraph" w:customStyle="1" w:styleId="headingh1">
    <w:name w:val="heading h1"/>
    <w:basedOn w:val="a"/>
    <w:next w:val="a"/>
    <w:uiPriority w:val="9"/>
    <w:qFormat/>
    <w:pPr>
      <w:keepNext/>
      <w:keepLines/>
      <w:spacing w:before="240" w:after="240" w:line="578" w:lineRule="auto"/>
      <w:outlineLvl w:val="0"/>
    </w:pPr>
    <w:rPr>
      <w:kern w:val="44"/>
      <w:sz w:val="44"/>
      <w:szCs w:val="44"/>
    </w:rPr>
  </w:style>
  <w:style w:type="paragraph" w:customStyle="1" w:styleId="fotter1">
    <w:name w:val="fotter 1"/>
    <w:qFormat/>
    <w:pPr>
      <w:jc w:val="right"/>
    </w:pPr>
    <w:rPr>
      <w:rFonts w:ascii="宋体" w:hAnsiTheme="minorHAnsi" w:cstheme="minorBidi"/>
      <w:kern w:val="2"/>
      <w:sz w:val="18"/>
      <w:szCs w:val="18"/>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6">
    <w:name w:val="批注框文本 字符"/>
    <w:basedOn w:val="a0"/>
    <w:link w:val="a5"/>
    <w:uiPriority w:val="99"/>
    <w:semiHidden/>
    <w:qFormat/>
    <w:rPr>
      <w:rFonts w:asciiTheme="minorHAnsi" w:eastAsiaTheme="minorEastAsia" w:hAnsiTheme="minorHAnsi" w:cstheme="minorBidi"/>
      <w:kern w:val="2"/>
      <w:sz w:val="18"/>
      <w:szCs w:val="18"/>
    </w:rPr>
  </w:style>
  <w:style w:type="character" w:customStyle="1" w:styleId="a4">
    <w:name w:val="文档结构图 字符"/>
    <w:basedOn w:val="a0"/>
    <w:link w:val="a3"/>
    <w:uiPriority w:val="99"/>
    <w:semiHidden/>
    <w:qFormat/>
    <w:rPr>
      <w:rFonts w:ascii="宋体"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17</Pages>
  <Words>2024</Words>
  <Characters>11542</Characters>
  <Application>Microsoft Office Word</Application>
  <DocSecurity>0</DocSecurity>
  <Lines>96</Lines>
  <Paragraphs>27</Paragraphs>
  <ScaleCrop>false</ScaleCrop>
  <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huangruhong</dc:creator>
  <cp:lastModifiedBy>刘航</cp:lastModifiedBy>
  <cp:revision>8</cp:revision>
  <cp:lastPrinted>2025-04-24T08:17:00Z</cp:lastPrinted>
  <dcterms:created xsi:type="dcterms:W3CDTF">2025-04-24T07:55:00Z</dcterms:created>
  <dcterms:modified xsi:type="dcterms:W3CDTF">2025-04-26T04:01:00Z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eyJoZGlkIjoiNmU3NzVhMjcxNTg0ZjJhYWQ1ZDdjNzI1ZDU5ODBhNzIiLCJ1c2VySWQiOiI1NDE2OTAyNDgifQ==</vt:lpwstr>
  </property>
  <property fmtid="{D5CDD505-2E9C-101B-9397-08002B2CF9AE}" pid="3" name="KSOProductBuildVer">
    <vt:lpwstr>2052-12.1.0.20784</vt:lpwstr>
  </property>
  <property fmtid="{D5CDD505-2E9C-101B-9397-08002B2CF9AE}" pid="4" name="ICV">
    <vt:lpwstr>339FF22026454E689273D3B7A8FA4743_12</vt:lpwstr>
  </property>
</Properties>
</file>