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B5A" w:rsidRPr="00DA2679" w:rsidRDefault="00280009" w:rsidP="0067148F">
      <w:pPr>
        <w:spacing w:before="200" w:after="200" w:line="360" w:lineRule="auto"/>
        <w:jc w:val="center"/>
        <w:rPr>
          <w:rFonts w:ascii="Times New Roman" w:eastAsia="宋体" w:hAnsi="Times New Roman" w:cs="Times New Roman"/>
          <w:sz w:val="30"/>
          <w:szCs w:val="30"/>
        </w:rPr>
      </w:pPr>
      <w:r w:rsidRPr="00DA2679">
        <w:rPr>
          <w:rFonts w:ascii="Times New Roman" w:eastAsia="宋体" w:hAnsi="Times New Roman" w:cs="Times New Roman"/>
          <w:sz w:val="30"/>
          <w:szCs w:val="30"/>
        </w:rPr>
        <w:t>证券代码：</w:t>
      </w:r>
      <w:r w:rsidR="00174986" w:rsidRPr="00DA2679">
        <w:rPr>
          <w:rFonts w:ascii="Times New Roman" w:eastAsia="宋体" w:hAnsi="Times New Roman" w:cs="Times New Roman"/>
          <w:sz w:val="30"/>
          <w:szCs w:val="30"/>
        </w:rPr>
        <w:t xml:space="preserve">002378           </w:t>
      </w:r>
      <w:r w:rsidRPr="00DA2679">
        <w:rPr>
          <w:rFonts w:ascii="Times New Roman" w:eastAsia="宋体" w:hAnsi="Times New Roman" w:cs="Times New Roman"/>
          <w:sz w:val="30"/>
          <w:szCs w:val="30"/>
        </w:rPr>
        <w:t>证券简称：章源钨业</w:t>
      </w:r>
      <w:r w:rsidR="00174986" w:rsidRPr="00DA2679">
        <w:rPr>
          <w:rFonts w:ascii="Times New Roman" w:eastAsia="宋体" w:hAnsi="Times New Roman" w:cs="Times New Roman"/>
          <w:sz w:val="30"/>
          <w:szCs w:val="30"/>
        </w:rPr>
        <w:t xml:space="preserve">           </w:t>
      </w:r>
      <w:r w:rsidRPr="00DA2679">
        <w:rPr>
          <w:rFonts w:ascii="Times New Roman" w:eastAsia="宋体" w:hAnsi="Times New Roman" w:cs="Times New Roman"/>
          <w:sz w:val="30"/>
          <w:szCs w:val="30"/>
        </w:rPr>
        <w:t>公告编号：</w:t>
      </w:r>
      <w:r w:rsidR="00174986" w:rsidRPr="00DA2679">
        <w:rPr>
          <w:rFonts w:ascii="Times New Roman" w:eastAsia="宋体" w:hAnsi="Times New Roman" w:cs="Times New Roman"/>
          <w:sz w:val="30"/>
          <w:szCs w:val="30"/>
        </w:rPr>
        <w:t>2023-0</w:t>
      </w:r>
      <w:r w:rsidR="008456DF" w:rsidRPr="00DA2679">
        <w:rPr>
          <w:rFonts w:ascii="Times New Roman" w:eastAsia="宋体" w:hAnsi="Times New Roman" w:cs="Times New Roman"/>
          <w:sz w:val="30"/>
          <w:szCs w:val="30"/>
        </w:rPr>
        <w:t>21</w:t>
      </w:r>
    </w:p>
    <w:p w:rsidR="004C0B5A" w:rsidRPr="00DA2679" w:rsidRDefault="00280009" w:rsidP="005A459F">
      <w:pPr>
        <w:spacing w:beforeLines="100" w:before="312" w:line="360" w:lineRule="auto"/>
        <w:jc w:val="center"/>
        <w:rPr>
          <w:rFonts w:ascii="Times New Roman" w:eastAsia="宋体" w:hAnsi="Times New Roman" w:cs="Times New Roman"/>
          <w:b/>
          <w:bCs/>
          <w:sz w:val="32"/>
          <w:szCs w:val="32"/>
        </w:rPr>
      </w:pPr>
      <w:r w:rsidRPr="00DA2679">
        <w:rPr>
          <w:rFonts w:ascii="Times New Roman" w:eastAsia="宋体" w:hAnsi="Times New Roman" w:cs="Times New Roman"/>
          <w:b/>
          <w:bCs/>
          <w:sz w:val="32"/>
          <w:szCs w:val="32"/>
        </w:rPr>
        <w:t>崇义章源钨业股份有限公司</w:t>
      </w:r>
    </w:p>
    <w:p w:rsidR="004C0B5A" w:rsidRPr="00DA2679" w:rsidRDefault="006817E1" w:rsidP="00174986">
      <w:pPr>
        <w:spacing w:line="360" w:lineRule="auto"/>
        <w:jc w:val="center"/>
        <w:rPr>
          <w:rFonts w:ascii="Times New Roman" w:eastAsia="宋体" w:hAnsi="Times New Roman" w:cs="Times New Roman"/>
          <w:b/>
          <w:bCs/>
          <w:sz w:val="32"/>
          <w:szCs w:val="32"/>
        </w:rPr>
      </w:pPr>
      <w:r>
        <w:rPr>
          <w:rFonts w:ascii="Times New Roman" w:eastAsia="宋体" w:hAnsi="Times New Roman" w:cs="Times New Roman"/>
          <w:b/>
          <w:bCs/>
          <w:noProof/>
          <w:sz w:val="32"/>
          <w:szCs w:val="32"/>
        </w:rPr>
        <w:pict>
          <v:shapetype id="_x0000_t202" coordsize="21600,21600" o:spt="202" path="m,l,21600r21600,l21600,xe">
            <v:stroke joinstyle="miter"/>
            <v:path gradientshapeok="t" o:connecttype="rect"/>
          </v:shapetype>
          <v:shape id="文本框 1" o:spid="_x0000_s1026" type="#_x0000_t202" style="position:absolute;left:0;text-align:left;margin-left:-.45pt;margin-top:32pt;width:480pt;height:59.25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" fillcolor="white [3201]" strokeweight=".5pt">
            <v:textbox>
              <w:txbxContent>
                <w:p w:rsidR="00B31067" w:rsidRPr="000C2D22" w:rsidRDefault="00B31067" w:rsidP="008C7173">
                  <w:pPr>
                    <w:spacing w:before="100" w:after="100" w:line="360" w:lineRule="auto"/>
                    <w:ind w:firstLineChars="200" w:firstLine="480"/>
                    <w:rPr>
                      <w:sz w:val="24"/>
                      <w:szCs w:val="24"/>
                    </w:rPr>
                  </w:pPr>
                  <w:r w:rsidRPr="000C2D22">
                    <w:rPr>
                      <w:rFonts w:hint="eastAsia"/>
                      <w:sz w:val="24"/>
                      <w:szCs w:val="24"/>
                    </w:rPr>
                    <w:t>本公司及董事会全体成员保证信息披露的内容真实、准确、完整，没有虚假记载、误导性陈述或重大遗漏。</w:t>
                  </w:r>
                </w:p>
                <w:p w:rsidR="00B31067" w:rsidRPr="008C7173" w:rsidRDefault="00B31067"/>
              </w:txbxContent>
            </v:textbox>
          </v:shape>
        </w:pict>
      </w:r>
      <w:r w:rsidR="00280009" w:rsidRPr="00DA2679">
        <w:rPr>
          <w:rFonts w:ascii="Times New Roman" w:eastAsia="宋体" w:hAnsi="Times New Roman" w:cs="Times New Roman"/>
          <w:b/>
          <w:bCs/>
          <w:sz w:val="32"/>
          <w:szCs w:val="32"/>
        </w:rPr>
        <w:t>2023</w:t>
      </w:r>
      <w:r w:rsidR="00280009" w:rsidRPr="00DA2679">
        <w:rPr>
          <w:rFonts w:ascii="Times New Roman" w:eastAsia="宋体" w:hAnsi="Times New Roman" w:cs="Times New Roman"/>
          <w:b/>
          <w:bCs/>
          <w:sz w:val="32"/>
          <w:szCs w:val="32"/>
        </w:rPr>
        <w:t>年第一季度报告</w:t>
      </w:r>
    </w:p>
    <w:p w:rsidR="008C7173" w:rsidRPr="00DA2679" w:rsidRDefault="008C7173" w:rsidP="00174986">
      <w:pPr>
        <w:spacing w:line="360" w:lineRule="auto"/>
        <w:jc w:val="center"/>
        <w:rPr>
          <w:rFonts w:ascii="Times New Roman" w:eastAsia="宋体" w:hAnsi="Times New Roman" w:cs="Times New Roman"/>
          <w:b/>
          <w:bCs/>
          <w:sz w:val="32"/>
          <w:szCs w:val="32"/>
        </w:rPr>
      </w:pPr>
    </w:p>
    <w:p w:rsidR="008C7173" w:rsidRPr="00DA2679" w:rsidRDefault="008C7173" w:rsidP="00174986">
      <w:pPr>
        <w:spacing w:line="360" w:lineRule="auto"/>
        <w:jc w:val="center"/>
        <w:rPr>
          <w:rFonts w:ascii="Times New Roman" w:eastAsia="宋体" w:hAnsi="Times New Roman" w:cs="Times New Roman"/>
          <w:b/>
          <w:bCs/>
          <w:sz w:val="32"/>
          <w:szCs w:val="32"/>
        </w:rPr>
      </w:pPr>
    </w:p>
    <w:p w:rsidR="004C0B5A" w:rsidRPr="00DA2679" w:rsidRDefault="00174986">
      <w:pPr>
        <w:spacing w:before="40" w:after="40" w:line="420" w:lineRule="exact"/>
        <w:rPr>
          <w:rFonts w:ascii="Times New Roman" w:eastAsia="宋体" w:hAnsi="Times New Roman" w:cs="Times New Roman"/>
          <w:b/>
          <w:bCs/>
          <w:sz w:val="24"/>
          <w:szCs w:val="24"/>
        </w:rPr>
      </w:pPr>
      <w:r w:rsidRPr="00DA2679">
        <w:rPr>
          <w:rFonts w:ascii="Times New Roman" w:eastAsia="宋体" w:hAnsi="Times New Roman" w:cs="Times New Roman"/>
          <w:b/>
          <w:bCs/>
          <w:sz w:val="24"/>
          <w:szCs w:val="24"/>
        </w:rPr>
        <w:t>重要内容提示：</w:t>
      </w:r>
    </w:p>
    <w:p w:rsidR="004C0B5A" w:rsidRPr="00DA2679" w:rsidRDefault="00174986">
      <w:pPr>
        <w:spacing w:before="100" w:after="100" w:line="400" w:lineRule="exact"/>
        <w:rPr>
          <w:rFonts w:ascii="Times New Roman" w:hAnsi="Times New Roman" w:cs="Times New Roman"/>
          <w:sz w:val="24"/>
          <w:szCs w:val="24"/>
        </w:rPr>
      </w:pPr>
      <w:r w:rsidRPr="00DA2679">
        <w:rPr>
          <w:rFonts w:ascii="Times New Roman" w:hAnsi="Times New Roman" w:cs="Times New Roman"/>
          <w:sz w:val="24"/>
          <w:szCs w:val="24"/>
        </w:rPr>
        <w:t>1</w:t>
      </w:r>
      <w:r w:rsidRPr="00DA2679">
        <w:rPr>
          <w:rFonts w:ascii="Times New Roman" w:hAnsi="Times New Roman" w:cs="Times New Roman"/>
          <w:b/>
          <w:sz w:val="24"/>
          <w:szCs w:val="24"/>
        </w:rPr>
        <w:t>.</w:t>
      </w:r>
      <w:r w:rsidR="0067148F" w:rsidRPr="00DA2679">
        <w:rPr>
          <w:rFonts w:ascii="Times New Roman" w:hAnsi="Times New Roman" w:cs="Times New Roman"/>
          <w:b/>
          <w:sz w:val="24"/>
          <w:szCs w:val="24"/>
        </w:rPr>
        <w:t xml:space="preserve"> </w:t>
      </w:r>
      <w:r w:rsidRPr="00DA2679">
        <w:rPr>
          <w:rFonts w:ascii="Times New Roman" w:hAnsi="Times New Roman" w:cs="Times New Roman"/>
          <w:sz w:val="24"/>
          <w:szCs w:val="24"/>
        </w:rPr>
        <w:t>董事会、监事会及董事、监事、高级管理人员保证季度报告的真实、准确、完整，不存在虚假记载、误导性陈述或重大遗漏，并承担个别和连带的法律责任。</w:t>
      </w:r>
    </w:p>
    <w:p w:rsidR="004C0B5A" w:rsidRPr="00DA2679" w:rsidRDefault="00174986">
      <w:pPr>
        <w:spacing w:before="100" w:after="100" w:line="400" w:lineRule="exact"/>
        <w:rPr>
          <w:rFonts w:ascii="Times New Roman" w:hAnsi="Times New Roman" w:cs="Times New Roman"/>
          <w:sz w:val="24"/>
          <w:szCs w:val="24"/>
        </w:rPr>
      </w:pPr>
      <w:r w:rsidRPr="00DA2679">
        <w:rPr>
          <w:rFonts w:ascii="Times New Roman" w:hAnsi="Times New Roman" w:cs="Times New Roman"/>
          <w:sz w:val="24"/>
          <w:szCs w:val="24"/>
        </w:rPr>
        <w:t>2</w:t>
      </w:r>
      <w:r w:rsidRPr="00DA2679">
        <w:rPr>
          <w:rFonts w:ascii="Times New Roman" w:hAnsi="Times New Roman" w:cs="Times New Roman"/>
          <w:b/>
          <w:sz w:val="24"/>
          <w:szCs w:val="24"/>
        </w:rPr>
        <w:t>.</w:t>
      </w:r>
      <w:r w:rsidR="0067148F" w:rsidRPr="00DA2679">
        <w:rPr>
          <w:rFonts w:ascii="Times New Roman" w:hAnsi="Times New Roman" w:cs="Times New Roman"/>
          <w:b/>
          <w:sz w:val="24"/>
          <w:szCs w:val="24"/>
        </w:rPr>
        <w:t xml:space="preserve"> </w:t>
      </w:r>
      <w:r w:rsidRPr="00DA2679">
        <w:rPr>
          <w:rFonts w:ascii="Times New Roman" w:hAnsi="Times New Roman" w:cs="Times New Roman"/>
          <w:sz w:val="24"/>
          <w:szCs w:val="24"/>
        </w:rPr>
        <w:t>公司负责人</w:t>
      </w:r>
      <w:r w:rsidR="005A459F" w:rsidRPr="00DA2679">
        <w:rPr>
          <w:rFonts w:ascii="Times New Roman" w:hAnsi="Times New Roman" w:cs="Times New Roman" w:hint="eastAsia"/>
          <w:sz w:val="24"/>
          <w:szCs w:val="24"/>
        </w:rPr>
        <w:t>黄世春</w:t>
      </w:r>
      <w:r w:rsidRPr="00DA2679">
        <w:rPr>
          <w:rFonts w:ascii="Times New Roman" w:hAnsi="Times New Roman" w:cs="Times New Roman"/>
          <w:sz w:val="24"/>
          <w:szCs w:val="24"/>
        </w:rPr>
        <w:t>、主管会计工作负责人</w:t>
      </w:r>
      <w:r w:rsidR="005A459F" w:rsidRPr="00DA2679">
        <w:rPr>
          <w:rFonts w:ascii="Times New Roman" w:hAnsi="Times New Roman" w:cs="Times New Roman" w:hint="eastAsia"/>
          <w:sz w:val="24"/>
          <w:szCs w:val="24"/>
        </w:rPr>
        <w:t>范迪曜</w:t>
      </w:r>
      <w:r w:rsidRPr="00DA2679">
        <w:rPr>
          <w:rFonts w:ascii="Times New Roman" w:hAnsi="Times New Roman" w:cs="Times New Roman"/>
          <w:sz w:val="24"/>
          <w:szCs w:val="24"/>
        </w:rPr>
        <w:t>及会计机构负责人</w:t>
      </w:r>
      <w:r w:rsidR="00E462C7" w:rsidRPr="00DA2679">
        <w:rPr>
          <w:rFonts w:ascii="Times New Roman" w:hAnsi="Times New Roman" w:cs="Times New Roman" w:hint="eastAsia"/>
          <w:sz w:val="24"/>
          <w:szCs w:val="24"/>
        </w:rPr>
        <w:t>（</w:t>
      </w:r>
      <w:r w:rsidR="00E462C7" w:rsidRPr="00DA2679">
        <w:rPr>
          <w:rFonts w:ascii="Times New Roman" w:hAnsi="Times New Roman" w:cs="Times New Roman"/>
          <w:sz w:val="24"/>
          <w:szCs w:val="24"/>
        </w:rPr>
        <w:t>会计主管人员</w:t>
      </w:r>
      <w:r w:rsidR="00E462C7" w:rsidRPr="00DA2679">
        <w:rPr>
          <w:rFonts w:ascii="Times New Roman" w:hAnsi="Times New Roman" w:cs="Times New Roman" w:hint="eastAsia"/>
          <w:sz w:val="24"/>
          <w:szCs w:val="24"/>
        </w:rPr>
        <w:t>）</w:t>
      </w:r>
      <w:r w:rsidR="005A459F" w:rsidRPr="00DA2679">
        <w:rPr>
          <w:rFonts w:ascii="Times New Roman" w:hAnsi="Times New Roman" w:cs="Times New Roman" w:hint="eastAsia"/>
          <w:sz w:val="24"/>
          <w:szCs w:val="24"/>
        </w:rPr>
        <w:t>黄如红</w:t>
      </w:r>
      <w:r w:rsidRPr="00DA2679">
        <w:rPr>
          <w:rFonts w:ascii="Times New Roman" w:hAnsi="Times New Roman" w:cs="Times New Roman"/>
          <w:sz w:val="24"/>
          <w:szCs w:val="24"/>
        </w:rPr>
        <w:t>声明：保证季度报告中财务信息的真实、准确、完整。</w:t>
      </w:r>
    </w:p>
    <w:p w:rsidR="004C0B5A" w:rsidRPr="00DA2679" w:rsidRDefault="00174986">
      <w:pPr>
        <w:spacing w:before="100" w:after="100" w:line="400" w:lineRule="exact"/>
        <w:rPr>
          <w:rFonts w:ascii="Times New Roman" w:hAnsi="Times New Roman" w:cs="Times New Roman"/>
          <w:sz w:val="24"/>
          <w:szCs w:val="24"/>
        </w:rPr>
      </w:pPr>
      <w:r w:rsidRPr="00DA2679">
        <w:rPr>
          <w:rFonts w:ascii="Times New Roman" w:hAnsi="Times New Roman" w:cs="Times New Roman"/>
          <w:sz w:val="24"/>
          <w:szCs w:val="24"/>
        </w:rPr>
        <w:t>3</w:t>
      </w:r>
      <w:r w:rsidRPr="00DA2679">
        <w:rPr>
          <w:rFonts w:ascii="Times New Roman" w:hAnsi="Times New Roman" w:cs="Times New Roman"/>
          <w:b/>
          <w:sz w:val="24"/>
          <w:szCs w:val="24"/>
        </w:rPr>
        <w:t>.</w:t>
      </w:r>
      <w:r w:rsidR="0067148F" w:rsidRPr="00DA2679">
        <w:rPr>
          <w:rFonts w:ascii="Times New Roman" w:hAnsi="Times New Roman" w:cs="Times New Roman"/>
          <w:b/>
          <w:sz w:val="24"/>
          <w:szCs w:val="24"/>
        </w:rPr>
        <w:t xml:space="preserve"> </w:t>
      </w:r>
      <w:r w:rsidRPr="00DA2679">
        <w:rPr>
          <w:rFonts w:ascii="Times New Roman" w:hAnsi="Times New Roman" w:cs="Times New Roman"/>
          <w:sz w:val="24"/>
          <w:szCs w:val="24"/>
        </w:rPr>
        <w:t>第一季度报告是否经审计</w:t>
      </w:r>
    </w:p>
    <w:p w:rsidR="004C0B5A" w:rsidRPr="00DA2679" w:rsidRDefault="00174986" w:rsidP="0067148F">
      <w:pPr>
        <w:spacing w:before="100" w:after="100" w:line="400" w:lineRule="exact"/>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是</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否</w:t>
      </w:r>
    </w:p>
    <w:p w:rsidR="004C0B5A" w:rsidRPr="00DA2679" w:rsidRDefault="00174986">
      <w:pPr>
        <w:pStyle w:val="headingh1"/>
        <w:spacing w:before="300" w:after="300" w:line="320" w:lineRule="exact"/>
        <w:rPr>
          <w:rFonts w:ascii="Times New Roman" w:eastAsia="宋体" w:hAnsi="Times New Roman" w:cs="Times New Roman"/>
          <w:b/>
          <w:bCs/>
          <w:sz w:val="24"/>
          <w:szCs w:val="24"/>
        </w:rPr>
      </w:pPr>
      <w:bookmarkStart w:id="0" w:name="_Toc988889"/>
      <w:r w:rsidRPr="00DA2679">
        <w:rPr>
          <w:rFonts w:ascii="Times New Roman" w:eastAsia="宋体" w:hAnsi="Times New Roman" w:cs="Times New Roman"/>
          <w:b/>
          <w:bCs/>
          <w:sz w:val="24"/>
          <w:szCs w:val="24"/>
        </w:rPr>
        <w:t>一、主要财务数据</w:t>
      </w:r>
      <w:bookmarkEnd w:id="0"/>
    </w:p>
    <w:p w:rsidR="004C0B5A" w:rsidRPr="00DA2679" w:rsidRDefault="00174986">
      <w:pPr>
        <w:pStyle w:val="2"/>
        <w:spacing w:before="300" w:after="300" w:line="280" w:lineRule="exact"/>
        <w:rPr>
          <w:rFonts w:ascii="Times New Roman" w:eastAsia="宋体" w:hAnsi="Times New Roman" w:cs="Times New Roman"/>
          <w:b/>
          <w:bCs/>
          <w:sz w:val="24"/>
          <w:szCs w:val="24"/>
        </w:rPr>
      </w:pPr>
      <w:bookmarkStart w:id="1" w:name="_Toc988890"/>
      <w:r w:rsidRPr="00DA2679">
        <w:rPr>
          <w:rFonts w:ascii="Times New Roman" w:eastAsia="宋体" w:hAnsi="Times New Roman" w:cs="Times New Roman"/>
          <w:b/>
          <w:bCs/>
          <w:sz w:val="24"/>
          <w:szCs w:val="24"/>
        </w:rPr>
        <w:t>（一）</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主要会计数据和财务指标</w:t>
      </w:r>
      <w:bookmarkEnd w:id="1"/>
    </w:p>
    <w:p w:rsidR="004C0B5A" w:rsidRPr="00DA2679" w:rsidRDefault="00174986" w:rsidP="0067148F">
      <w:pPr>
        <w:spacing w:before="40" w:after="40" w:line="360" w:lineRule="auto"/>
        <w:rPr>
          <w:rFonts w:ascii="Times New Roman" w:hAnsi="Times New Roman" w:cs="Times New Roman"/>
          <w:sz w:val="24"/>
          <w:szCs w:val="24"/>
        </w:rPr>
      </w:pPr>
      <w:r w:rsidRPr="00DA2679">
        <w:rPr>
          <w:rFonts w:ascii="Times New Roman" w:hAnsi="Times New Roman" w:cs="Times New Roman"/>
          <w:sz w:val="24"/>
          <w:szCs w:val="24"/>
        </w:rPr>
        <w:t>公司是否需追溯调整或重述以前年度会计数据</w:t>
      </w:r>
    </w:p>
    <w:p w:rsidR="004C0B5A" w:rsidRPr="00DA2679" w:rsidRDefault="00174986" w:rsidP="0067148F">
      <w:pPr>
        <w:spacing w:line="360" w:lineRule="auto"/>
        <w:rPr>
          <w:rFonts w:ascii="Times New Roman" w:hAnsi="Times New Roman" w:cs="Times New Roman"/>
          <w:sz w:val="24"/>
          <w:szCs w:val="24"/>
        </w:rPr>
      </w:pP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是</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否</w:t>
      </w:r>
    </w:p>
    <w:p w:rsidR="004C0B5A" w:rsidRPr="00DA2679" w:rsidRDefault="00174986" w:rsidP="0067148F">
      <w:pPr>
        <w:spacing w:before="40" w:after="40" w:line="360" w:lineRule="auto"/>
        <w:rPr>
          <w:rFonts w:ascii="Times New Roman" w:hAnsi="Times New Roman" w:cs="Times New Roman"/>
          <w:sz w:val="24"/>
          <w:szCs w:val="24"/>
        </w:rPr>
      </w:pPr>
      <w:r w:rsidRPr="00DA2679">
        <w:rPr>
          <w:rFonts w:ascii="Times New Roman" w:hAnsi="Times New Roman" w:cs="Times New Roman"/>
          <w:sz w:val="24"/>
          <w:szCs w:val="24"/>
        </w:rPr>
        <w:t>追溯调整或重述原因</w:t>
      </w:r>
    </w:p>
    <w:p w:rsidR="004C0B5A" w:rsidRPr="00DA2679" w:rsidRDefault="00174986" w:rsidP="0067148F">
      <w:pPr>
        <w:spacing w:line="360" w:lineRule="auto"/>
        <w:rPr>
          <w:rFonts w:ascii="Times New Roman" w:hAnsi="Times New Roman" w:cs="Times New Roman"/>
          <w:sz w:val="24"/>
          <w:szCs w:val="24"/>
        </w:rPr>
      </w:pP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会计政策变更</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会计差错更正</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同一控制下企业合并</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其他原因</w:t>
      </w:r>
    </w:p>
    <w:tbl>
      <w:tblPr>
        <w:tblW w:w="9780"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049"/>
        <w:gridCol w:w="1701"/>
        <w:gridCol w:w="1701"/>
        <w:gridCol w:w="1771"/>
        <w:gridCol w:w="1558"/>
      </w:tblGrid>
      <w:tr w:rsidR="004C0B5A" w:rsidRPr="00DA2679" w:rsidTr="008C7173">
        <w:trPr>
          <w:trHeight w:val="454"/>
          <w:jc w:val="center"/>
        </w:trPr>
        <w:tc>
          <w:tcPr>
            <w:tcW w:w="30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67148F" w:rsidP="0067148F">
            <w:pPr>
              <w:jc w:val="center"/>
              <w:rPr>
                <w:rFonts w:ascii="Times New Roman" w:hAnsi="Times New Roman" w:cs="Times New Roman"/>
                <w:szCs w:val="21"/>
              </w:rPr>
            </w:pPr>
            <w:r w:rsidRPr="00DA2679">
              <w:rPr>
                <w:rFonts w:ascii="Times New Roman" w:hAnsi="Times New Roman" w:cs="Times New Roman"/>
                <w:szCs w:val="21"/>
              </w:rPr>
              <w:t>项目</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本报告期</w:t>
            </w:r>
          </w:p>
        </w:tc>
        <w:tc>
          <w:tcPr>
            <w:tcW w:w="347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上年同期</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本报告期比上年同期增减（</w:t>
            </w:r>
            <w:r w:rsidRPr="00DA2679">
              <w:rPr>
                <w:rFonts w:ascii="Times New Roman" w:hAnsi="Times New Roman" w:cs="Times New Roman"/>
                <w:szCs w:val="21"/>
              </w:rPr>
              <w:t>%</w:t>
            </w:r>
            <w:r w:rsidRPr="00DA2679">
              <w:rPr>
                <w:rFonts w:ascii="Times New Roman" w:hAnsi="Times New Roman" w:cs="Times New Roman"/>
                <w:szCs w:val="21"/>
              </w:rPr>
              <w:t>）</w:t>
            </w:r>
          </w:p>
        </w:tc>
      </w:tr>
      <w:tr w:rsidR="004C0B5A" w:rsidRPr="00DA2679" w:rsidTr="008C7173">
        <w:trPr>
          <w:trHeight w:val="454"/>
          <w:jc w:val="center"/>
        </w:trPr>
        <w:tc>
          <w:tcPr>
            <w:tcW w:w="3049" w:type="dxa"/>
            <w:vMerge/>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hAnsi="Times New Roman" w:cs="Times New Roman"/>
                <w:szCs w:val="21"/>
              </w:rPr>
            </w:pPr>
          </w:p>
        </w:tc>
        <w:tc>
          <w:tcPr>
            <w:tcW w:w="1701" w:type="dxa"/>
            <w:vMerge/>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hAnsi="Times New Roman" w:cs="Times New Roman"/>
                <w:szCs w:val="21"/>
              </w:rPr>
            </w:pP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调整前</w:t>
            </w:r>
          </w:p>
        </w:tc>
        <w:tc>
          <w:tcPr>
            <w:tcW w:w="177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调整后</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调整后</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营业收入（元）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822,676,918.20</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872,897,895.21</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872,897,895.21</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-5.75%</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归属于上市公司股东的净利润（元）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35,070,909.23</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65,695,230.60</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65,695,230.60</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-46.62%</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归属于上市公司股东的扣除非经常性损益的净利润（元）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2E40F1" w:rsidP="002E40F1">
            <w:pPr>
              <w:spacing w:line="240" w:lineRule="exact"/>
              <w:jc w:val="right"/>
              <w:rPr>
                <w:rFonts w:ascii="Times New Roman" w:hAnsi="Times New Roman" w:cs="Times New Roman"/>
                <w:szCs w:val="21"/>
              </w:rPr>
            </w:pPr>
            <w:r w:rsidRPr="00DA2679">
              <w:rPr>
                <w:rFonts w:ascii="Times New Roman" w:hAnsi="Times New Roman" w:cs="Times New Roman"/>
                <w:szCs w:val="21"/>
              </w:rPr>
              <w:t>27,422,378.30</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56,306,100.25</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56,306,100.25</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E40F1">
            <w:pPr>
              <w:spacing w:line="240" w:lineRule="exact"/>
              <w:jc w:val="right"/>
              <w:rPr>
                <w:rFonts w:ascii="Times New Roman" w:hAnsi="Times New Roman" w:cs="Times New Roman"/>
                <w:szCs w:val="21"/>
              </w:rPr>
            </w:pPr>
            <w:r w:rsidRPr="00DA2679">
              <w:rPr>
                <w:rFonts w:ascii="Times New Roman" w:hAnsi="Times New Roman" w:cs="Times New Roman"/>
                <w:szCs w:val="21"/>
              </w:rPr>
              <w:t>-51.</w:t>
            </w:r>
            <w:r w:rsidR="002E40F1" w:rsidRPr="00DA2679">
              <w:rPr>
                <w:rFonts w:ascii="Times New Roman" w:hAnsi="Times New Roman" w:cs="Times New Roman" w:hint="eastAsia"/>
                <w:szCs w:val="21"/>
              </w:rPr>
              <w:t>30</w:t>
            </w:r>
            <w:r w:rsidRPr="00DA2679">
              <w:rPr>
                <w:rFonts w:ascii="Times New Roman" w:hAnsi="Times New Roman" w:cs="Times New Roman"/>
                <w:szCs w:val="21"/>
              </w:rPr>
              <w:t>%</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经营活动产生的现金流量净额（元）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-146,227,775.31</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-181,981,993.34</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-181,981,993.34</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19.65%</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基本每股收益（元</w:t>
            </w:r>
            <w:r w:rsidRPr="00DA2679">
              <w:rPr>
                <w:rFonts w:ascii="Times New Roman" w:hAnsi="Times New Roman" w:cs="Times New Roman"/>
                <w:szCs w:val="21"/>
              </w:rPr>
              <w:t>/</w:t>
            </w:r>
            <w:r w:rsidRPr="00DA2679">
              <w:rPr>
                <w:rFonts w:ascii="Times New Roman" w:hAnsi="Times New Roman" w:cs="Times New Roman"/>
                <w:szCs w:val="21"/>
              </w:rPr>
              <w:t>股）</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0.0379</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-46.62%</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lastRenderedPageBreak/>
              <w:t>稀释每股收益（元</w:t>
            </w:r>
            <w:r w:rsidRPr="00DA2679">
              <w:rPr>
                <w:rFonts w:ascii="Times New Roman" w:hAnsi="Times New Roman" w:cs="Times New Roman"/>
                <w:szCs w:val="21"/>
              </w:rPr>
              <w:t>/</w:t>
            </w:r>
            <w:r w:rsidRPr="00DA2679">
              <w:rPr>
                <w:rFonts w:ascii="Times New Roman" w:hAnsi="Times New Roman" w:cs="Times New Roman"/>
                <w:szCs w:val="21"/>
              </w:rPr>
              <w:t>股）</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0.0379</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-46.62%</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加权平均净资产收益率（</w:t>
            </w:r>
            <w:r w:rsidRPr="00DA2679">
              <w:rPr>
                <w:rFonts w:ascii="Times New Roman" w:hAnsi="Times New Roman" w:cs="Times New Roman"/>
                <w:szCs w:val="21"/>
              </w:rPr>
              <w:t>%</w:t>
            </w:r>
            <w:r w:rsidRPr="00DA2679">
              <w:rPr>
                <w:rFonts w:ascii="Times New Roman" w:hAnsi="Times New Roman" w:cs="Times New Roman"/>
                <w:szCs w:val="21"/>
              </w:rPr>
              <w:t>）</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1.74%</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3.44%</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3.44%</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8C7173" w:rsidP="008C7173">
            <w:pPr>
              <w:spacing w:line="240" w:lineRule="exact"/>
              <w:rPr>
                <w:rFonts w:ascii="Times New Roman" w:hAnsi="Times New Roman" w:cs="Times New Roman"/>
                <w:szCs w:val="21"/>
              </w:rPr>
            </w:pPr>
            <w:r w:rsidRPr="00DA2679">
              <w:rPr>
                <w:rFonts w:ascii="Times New Roman" w:hAnsi="Times New Roman" w:cs="Times New Roman"/>
                <w:szCs w:val="21"/>
              </w:rPr>
              <w:t>减少</w:t>
            </w:r>
            <w:r w:rsidRPr="00DA2679">
              <w:rPr>
                <w:rFonts w:ascii="Times New Roman" w:hAnsi="Times New Roman" w:cs="Times New Roman"/>
                <w:szCs w:val="21"/>
              </w:rPr>
              <w:t>1.70</w:t>
            </w:r>
            <w:r w:rsidRPr="00DA2679">
              <w:rPr>
                <w:rFonts w:ascii="Times New Roman" w:hAnsi="Times New Roman" w:cs="Times New Roman"/>
                <w:szCs w:val="21"/>
              </w:rPr>
              <w:t>个百分点</w:t>
            </w:r>
          </w:p>
        </w:tc>
      </w:tr>
      <w:tr w:rsidR="004C0B5A" w:rsidRPr="00DA2679" w:rsidTr="008C7173">
        <w:trPr>
          <w:trHeight w:val="454"/>
          <w:jc w:val="center"/>
        </w:trPr>
        <w:tc>
          <w:tcPr>
            <w:tcW w:w="30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67148F" w:rsidP="006A2AFA">
            <w:pPr>
              <w:jc w:val="center"/>
              <w:rPr>
                <w:rFonts w:ascii="Times New Roman" w:hAnsi="Times New Roman" w:cs="Times New Roman"/>
                <w:szCs w:val="21"/>
              </w:rPr>
            </w:pPr>
            <w:r w:rsidRPr="00DA2679">
              <w:rPr>
                <w:rFonts w:ascii="Times New Roman" w:hAnsi="Times New Roman" w:cs="Times New Roman"/>
                <w:szCs w:val="21"/>
              </w:rPr>
              <w:t>项目</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本报告期末</w:t>
            </w:r>
          </w:p>
        </w:tc>
        <w:tc>
          <w:tcPr>
            <w:tcW w:w="347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上年度末</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本报告期末比上年度末增减（</w:t>
            </w:r>
            <w:r w:rsidRPr="00DA2679">
              <w:rPr>
                <w:rFonts w:ascii="Times New Roman" w:hAnsi="Times New Roman" w:cs="Times New Roman"/>
                <w:szCs w:val="21"/>
              </w:rPr>
              <w:t>%</w:t>
            </w:r>
            <w:r w:rsidRPr="00DA2679">
              <w:rPr>
                <w:rFonts w:ascii="Times New Roman" w:hAnsi="Times New Roman" w:cs="Times New Roman"/>
                <w:szCs w:val="21"/>
              </w:rPr>
              <w:t>）</w:t>
            </w:r>
          </w:p>
        </w:tc>
      </w:tr>
      <w:tr w:rsidR="004C0B5A" w:rsidRPr="00DA2679" w:rsidTr="008C7173">
        <w:trPr>
          <w:trHeight w:val="454"/>
          <w:jc w:val="center"/>
        </w:trPr>
        <w:tc>
          <w:tcPr>
            <w:tcW w:w="3049"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rsidP="008C7173">
            <w:pPr>
              <w:jc w:val="both"/>
              <w:rPr>
                <w:rFonts w:ascii="Times New Roman" w:hAnsi="Times New Roman" w:cs="Times New Roman"/>
                <w:szCs w:val="21"/>
              </w:rPr>
            </w:pPr>
          </w:p>
        </w:tc>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调整前</w:t>
            </w:r>
          </w:p>
        </w:tc>
        <w:tc>
          <w:tcPr>
            <w:tcW w:w="177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调整后</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调整后</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总资产（元）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4,825,490,988.75</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4,791,738,750.76</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4,791,921,163.19</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0.70%</w:t>
            </w:r>
          </w:p>
        </w:tc>
      </w:tr>
      <w:tr w:rsidR="004C0B5A" w:rsidRPr="00DA2679" w:rsidTr="008C7173">
        <w:trPr>
          <w:trHeight w:val="454"/>
          <w:jc w:val="center"/>
        </w:trPr>
        <w:tc>
          <w:tcPr>
            <w:tcW w:w="3049"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rsidP="008C7173">
            <w:pPr>
              <w:spacing w:line="240" w:lineRule="exact"/>
              <w:jc w:val="both"/>
              <w:rPr>
                <w:rFonts w:ascii="Times New Roman" w:hAnsi="Times New Roman" w:cs="Times New Roman"/>
                <w:szCs w:val="21"/>
              </w:rPr>
            </w:pPr>
            <w:r w:rsidRPr="00DA2679">
              <w:rPr>
                <w:rFonts w:ascii="Times New Roman" w:hAnsi="Times New Roman" w:cs="Times New Roman"/>
                <w:szCs w:val="21"/>
              </w:rPr>
              <w:t>归属于上市公司股东的所有者权益（元）</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2,038,098,182.91</w:t>
            </w:r>
          </w:p>
        </w:tc>
        <w:tc>
          <w:tcPr>
            <w:tcW w:w="170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2,001,861,723.73</w:t>
            </w:r>
          </w:p>
        </w:tc>
        <w:tc>
          <w:tcPr>
            <w:tcW w:w="177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2,001,864,033.17</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1.81%</w:t>
            </w:r>
          </w:p>
        </w:tc>
      </w:tr>
    </w:tbl>
    <w:p w:rsidR="004C0B5A" w:rsidRPr="00DA2679" w:rsidRDefault="00174986" w:rsidP="0067148F">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会计政策变更的原因</w:t>
      </w:r>
      <w:r w:rsidR="0067148F" w:rsidRPr="00DA2679">
        <w:rPr>
          <w:rFonts w:ascii="Times New Roman" w:hAnsi="Times New Roman" w:cs="Times New Roman"/>
          <w:sz w:val="24"/>
          <w:szCs w:val="24"/>
        </w:rPr>
        <w:t>：</w:t>
      </w:r>
    </w:p>
    <w:p w:rsidR="004C0B5A" w:rsidRPr="00DA2679" w:rsidRDefault="00174986" w:rsidP="0067148F">
      <w:pPr>
        <w:pStyle w:val="a3"/>
        <w:spacing w:before="40" w:beforeAutospacing="0" w:after="40" w:afterAutospacing="0" w:line="360" w:lineRule="auto"/>
        <w:ind w:firstLineChars="200" w:firstLine="480"/>
        <w:jc w:val="both"/>
        <w:divId w:val="717389119"/>
        <w:rPr>
          <w:rFonts w:ascii="Times New Roman" w:eastAsiaTheme="minorEastAsia" w:hAnsi="Times New Roman" w:cs="Times New Roman"/>
        </w:rPr>
      </w:pPr>
      <w:r w:rsidRPr="00DA2679">
        <w:rPr>
          <w:rFonts w:ascii="Times New Roman" w:eastAsiaTheme="minorEastAsia" w:hAnsi="Times New Roman" w:cs="Times New Roman"/>
        </w:rPr>
        <w:t>公司自</w:t>
      </w:r>
      <w:r w:rsidRPr="00DA2679">
        <w:rPr>
          <w:rFonts w:ascii="Times New Roman" w:eastAsiaTheme="minorEastAsia" w:hAnsi="Times New Roman" w:cs="Times New Roman"/>
        </w:rPr>
        <w:t>2023</w:t>
      </w:r>
      <w:r w:rsidRPr="00DA2679">
        <w:rPr>
          <w:rFonts w:ascii="Times New Roman" w:eastAsiaTheme="minorEastAsia" w:hAnsi="Times New Roman" w:cs="Times New Roman"/>
        </w:rPr>
        <w:t>年</w:t>
      </w:r>
      <w:r w:rsidRPr="00DA2679">
        <w:rPr>
          <w:rFonts w:ascii="Times New Roman" w:eastAsiaTheme="minorEastAsia" w:hAnsi="Times New Roman" w:cs="Times New Roman"/>
        </w:rPr>
        <w:t>1</w:t>
      </w:r>
      <w:r w:rsidRPr="00DA2679">
        <w:rPr>
          <w:rFonts w:ascii="Times New Roman" w:eastAsiaTheme="minorEastAsia" w:hAnsi="Times New Roman" w:cs="Times New Roman"/>
        </w:rPr>
        <w:t>月</w:t>
      </w:r>
      <w:r w:rsidRPr="00DA2679">
        <w:rPr>
          <w:rFonts w:ascii="Times New Roman" w:eastAsiaTheme="minorEastAsia" w:hAnsi="Times New Roman" w:cs="Times New Roman"/>
        </w:rPr>
        <w:t>1</w:t>
      </w:r>
      <w:r w:rsidRPr="00DA2679">
        <w:rPr>
          <w:rFonts w:ascii="Times New Roman" w:eastAsiaTheme="minorEastAsia" w:hAnsi="Times New Roman" w:cs="Times New Roman"/>
        </w:rPr>
        <w:t>日起施行《企业会计准则解释第</w:t>
      </w:r>
      <w:r w:rsidRPr="00DA2679">
        <w:rPr>
          <w:rFonts w:ascii="Times New Roman" w:eastAsiaTheme="minorEastAsia" w:hAnsi="Times New Roman" w:cs="Times New Roman"/>
        </w:rPr>
        <w:t>16</w:t>
      </w:r>
      <w:r w:rsidRPr="00DA2679">
        <w:rPr>
          <w:rFonts w:ascii="Times New Roman" w:eastAsiaTheme="minorEastAsia" w:hAnsi="Times New Roman" w:cs="Times New Roman"/>
        </w:rPr>
        <w:t>号》（财会〔</w:t>
      </w:r>
      <w:r w:rsidRPr="00DA2679">
        <w:rPr>
          <w:rFonts w:ascii="Times New Roman" w:eastAsiaTheme="minorEastAsia" w:hAnsi="Times New Roman" w:cs="Times New Roman"/>
        </w:rPr>
        <w:t>2022</w:t>
      </w:r>
      <w:r w:rsidRPr="00DA2679">
        <w:rPr>
          <w:rFonts w:ascii="Times New Roman" w:eastAsiaTheme="minorEastAsia" w:hAnsi="Times New Roman" w:cs="Times New Roman"/>
        </w:rPr>
        <w:t>〕</w:t>
      </w:r>
      <w:r w:rsidRPr="00DA2679">
        <w:rPr>
          <w:rFonts w:ascii="Times New Roman" w:eastAsiaTheme="minorEastAsia" w:hAnsi="Times New Roman" w:cs="Times New Roman"/>
        </w:rPr>
        <w:t>31</w:t>
      </w:r>
      <w:r w:rsidRPr="00DA2679">
        <w:rPr>
          <w:rFonts w:ascii="Times New Roman" w:eastAsiaTheme="minorEastAsia" w:hAnsi="Times New Roman" w:cs="Times New Roman"/>
        </w:rPr>
        <w:t>号）（以下简称</w:t>
      </w:r>
      <w:r w:rsidRPr="00DA2679">
        <w:rPr>
          <w:rFonts w:ascii="Times New Roman" w:eastAsiaTheme="minorEastAsia" w:hAnsi="Times New Roman" w:cs="Times New Roman"/>
        </w:rPr>
        <w:t>“</w:t>
      </w:r>
      <w:r w:rsidRPr="00DA2679">
        <w:rPr>
          <w:rFonts w:ascii="Times New Roman" w:eastAsiaTheme="minorEastAsia" w:hAnsi="Times New Roman" w:cs="Times New Roman"/>
        </w:rPr>
        <w:t>准则解释第</w:t>
      </w:r>
      <w:r w:rsidRPr="00DA2679">
        <w:rPr>
          <w:rFonts w:ascii="Times New Roman" w:eastAsiaTheme="minorEastAsia" w:hAnsi="Times New Roman" w:cs="Times New Roman"/>
        </w:rPr>
        <w:t>16</w:t>
      </w:r>
      <w:r w:rsidRPr="00DA2679">
        <w:rPr>
          <w:rFonts w:ascii="Times New Roman" w:eastAsiaTheme="minorEastAsia" w:hAnsi="Times New Roman" w:cs="Times New Roman"/>
        </w:rPr>
        <w:t>号</w:t>
      </w:r>
      <w:r w:rsidRPr="00DA2679">
        <w:rPr>
          <w:rFonts w:ascii="Times New Roman" w:eastAsiaTheme="minorEastAsia" w:hAnsi="Times New Roman" w:cs="Times New Roman"/>
        </w:rPr>
        <w:t>”</w:t>
      </w:r>
      <w:r w:rsidRPr="00DA2679">
        <w:rPr>
          <w:rFonts w:ascii="Times New Roman" w:eastAsiaTheme="minorEastAsia" w:hAnsi="Times New Roman" w:cs="Times New Roman"/>
        </w:rPr>
        <w:t>）规定</w:t>
      </w:r>
      <w:r w:rsidRPr="00DA2679">
        <w:rPr>
          <w:rFonts w:ascii="Times New Roman" w:eastAsiaTheme="minorEastAsia" w:hAnsi="Times New Roman" w:cs="Times New Roman"/>
        </w:rPr>
        <w:t>“</w:t>
      </w:r>
      <w:r w:rsidRPr="00DA2679">
        <w:rPr>
          <w:rFonts w:ascii="Times New Roman" w:eastAsiaTheme="minorEastAsia" w:hAnsi="Times New Roman" w:cs="Times New Roman"/>
        </w:rPr>
        <w:t>关于单项交易产生的资产和负债相关的递延所得税不适用初始确认豁免的会计处理</w:t>
      </w:r>
      <w:r w:rsidRPr="00DA2679">
        <w:rPr>
          <w:rFonts w:ascii="Times New Roman" w:eastAsiaTheme="minorEastAsia" w:hAnsi="Times New Roman" w:cs="Times New Roman"/>
        </w:rPr>
        <w:t>”</w:t>
      </w:r>
      <w:r w:rsidRPr="00DA2679">
        <w:rPr>
          <w:rFonts w:ascii="Times New Roman" w:eastAsiaTheme="minorEastAsia" w:hAnsi="Times New Roman" w:cs="Times New Roman"/>
        </w:rPr>
        <w:t>。对于在首次施行本解释的财务报表列报最早期间的期初因适用《准则解释</w:t>
      </w:r>
      <w:r w:rsidRPr="00DA2679">
        <w:rPr>
          <w:rFonts w:ascii="Times New Roman" w:eastAsiaTheme="minorEastAsia" w:hAnsi="Times New Roman" w:cs="Times New Roman"/>
        </w:rPr>
        <w:t>16</w:t>
      </w:r>
      <w:r w:rsidRPr="00DA2679">
        <w:rPr>
          <w:rFonts w:ascii="Times New Roman" w:eastAsiaTheme="minorEastAsia" w:hAnsi="Times New Roman" w:cs="Times New Roman"/>
        </w:rPr>
        <w:t>号》的单项交易而确认的租赁负债和使用权资产，产生应纳税暂时性差异和可抵扣暂时性差异的，公司已按照《准则解释</w:t>
      </w:r>
      <w:r w:rsidRPr="00DA2679">
        <w:rPr>
          <w:rFonts w:ascii="Times New Roman" w:eastAsiaTheme="minorEastAsia" w:hAnsi="Times New Roman" w:cs="Times New Roman"/>
        </w:rPr>
        <w:t>16</w:t>
      </w:r>
      <w:r w:rsidRPr="00DA2679">
        <w:rPr>
          <w:rFonts w:ascii="Times New Roman" w:eastAsiaTheme="minorEastAsia" w:hAnsi="Times New Roman" w:cs="Times New Roman"/>
        </w:rPr>
        <w:t>号》和《企业会计准则第</w:t>
      </w:r>
      <w:r w:rsidRPr="00DA2679">
        <w:rPr>
          <w:rFonts w:ascii="Times New Roman" w:eastAsiaTheme="minorEastAsia" w:hAnsi="Times New Roman" w:cs="Times New Roman"/>
        </w:rPr>
        <w:t xml:space="preserve"> 18</w:t>
      </w:r>
      <w:r w:rsidRPr="00DA2679">
        <w:rPr>
          <w:rFonts w:ascii="Times New Roman" w:eastAsiaTheme="minorEastAsia" w:hAnsi="Times New Roman" w:cs="Times New Roman"/>
        </w:rPr>
        <w:t>号</w:t>
      </w:r>
      <w:r w:rsidRPr="00DA2679">
        <w:rPr>
          <w:rFonts w:ascii="Times New Roman" w:eastAsiaTheme="minorEastAsia" w:hAnsi="Times New Roman" w:cs="Times New Roman"/>
        </w:rPr>
        <w:t>——</w:t>
      </w:r>
      <w:r w:rsidRPr="00DA2679">
        <w:rPr>
          <w:rFonts w:ascii="Times New Roman" w:eastAsiaTheme="minorEastAsia" w:hAnsi="Times New Roman" w:cs="Times New Roman"/>
        </w:rPr>
        <w:t>所得税》的规定，</w:t>
      </w:r>
      <w:r w:rsidRPr="00DA2679">
        <w:rPr>
          <w:rFonts w:ascii="Times New Roman" w:eastAsiaTheme="minorEastAsia" w:hAnsi="Times New Roman" w:cs="Times New Roman" w:hint="eastAsia"/>
        </w:rPr>
        <w:t>将累积影响数调整财务报表列报最早期间的期初留存收益及其他相关财务报表项目。</w:t>
      </w:r>
    </w:p>
    <w:p w:rsidR="004C0B5A" w:rsidRPr="00DA2679" w:rsidRDefault="00174986">
      <w:pPr>
        <w:pStyle w:val="2"/>
        <w:spacing w:before="300" w:after="300" w:line="280" w:lineRule="exact"/>
        <w:rPr>
          <w:rFonts w:ascii="Times New Roman" w:eastAsia="宋体" w:hAnsi="Times New Roman" w:cs="Times New Roman"/>
          <w:b/>
          <w:bCs/>
          <w:sz w:val="24"/>
          <w:szCs w:val="24"/>
        </w:rPr>
      </w:pPr>
      <w:bookmarkStart w:id="2" w:name="_Toc988891"/>
      <w:r w:rsidRPr="00DA2679">
        <w:rPr>
          <w:rFonts w:ascii="Times New Roman" w:eastAsia="宋体" w:hAnsi="Times New Roman" w:cs="Times New Roman"/>
          <w:b/>
          <w:bCs/>
          <w:sz w:val="24"/>
          <w:szCs w:val="24"/>
        </w:rPr>
        <w:t>（二）</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非经常性损益项目和金额</w:t>
      </w:r>
      <w:bookmarkEnd w:id="2"/>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不适用</w:t>
      </w:r>
    </w:p>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920"/>
        <w:gridCol w:w="1985"/>
        <w:gridCol w:w="1734"/>
      </w:tblGrid>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项目</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本报告期金额</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说明</w:t>
            </w: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非流动资产处置损益（包括已计提资产减值准备的冲销部分）</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28,217.23</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越权审批或无正式批准文件的税收返还、减免</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68,950.00</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计入当期损益的政府补助（与公司正常经营业务密切相关，符合国家政策规定、按照一定标准定额或定量持续享受的政府补助除外）</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11,399,834.55</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hint="eastAsia"/>
                <w:szCs w:val="21"/>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-3,735,808.05</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单独进行减值测试的应收款项减值准备转回</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941,901.00</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除上述各项之外的其他营业外收入和支出</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5A459F" w:rsidP="006415FC">
            <w:pPr>
              <w:jc w:val="right"/>
              <w:rPr>
                <w:rFonts w:ascii="Times New Roman" w:eastAsia="宋体" w:hAnsi="Times New Roman" w:cs="Times New Roman"/>
                <w:color w:val="000000"/>
                <w:szCs w:val="21"/>
              </w:rPr>
            </w:pPr>
            <w:r w:rsidRPr="00DA2679">
              <w:rPr>
                <w:rFonts w:ascii="Times New Roman" w:hAnsi="Times New Roman" w:cs="Times New Roman"/>
                <w:color w:val="000000"/>
                <w:szCs w:val="21"/>
              </w:rPr>
              <w:t>-908,024.94</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其他符合非经常性损益定义的损益项目</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12,750.10</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减：所得税影响额</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5A459F" w:rsidP="006415FC">
            <w:pPr>
              <w:jc w:val="right"/>
              <w:rPr>
                <w:rFonts w:ascii="Times New Roman" w:eastAsia="宋体" w:hAnsi="Times New Roman" w:cs="Times New Roman"/>
                <w:color w:val="000000"/>
                <w:szCs w:val="21"/>
              </w:rPr>
            </w:pPr>
            <w:r w:rsidRPr="00DA2679">
              <w:rPr>
                <w:rFonts w:ascii="Times New Roman" w:hAnsi="Times New Roman" w:cs="Times New Roman"/>
                <w:color w:val="000000"/>
                <w:szCs w:val="21"/>
              </w:rPr>
              <w:t xml:space="preserve">147,515.43 </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eastAsia="宋体" w:hAnsi="Times New Roman" w:cs="Times New Roman"/>
                <w:szCs w:val="21"/>
              </w:rPr>
            </w:pPr>
            <w:r w:rsidRPr="00DA2679">
              <w:rPr>
                <w:rFonts w:ascii="Times New Roman" w:eastAsia="宋体" w:hAnsi="Times New Roman" w:cs="Times New Roman"/>
                <w:szCs w:val="21"/>
              </w:rPr>
              <w:t>少数股东权益影响额（税后）</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11,773.53</w:t>
            </w:r>
          </w:p>
        </w:tc>
        <w:tc>
          <w:tcPr>
            <w:tcW w:w="1734"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r>
      <w:tr w:rsidR="004C0B5A" w:rsidRPr="00DA2679" w:rsidTr="006A2AFA">
        <w:trPr>
          <w:trHeight w:val="454"/>
          <w:jc w:val="center"/>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lastRenderedPageBreak/>
              <w:t>合计</w:t>
            </w:r>
          </w:p>
        </w:tc>
        <w:tc>
          <w:tcPr>
            <w:tcW w:w="1985" w:type="dxa"/>
            <w:tcBorders>
              <w:top w:val="single" w:sz="2" w:space="0" w:color="auto"/>
              <w:left w:val="single" w:sz="2" w:space="0" w:color="auto"/>
              <w:bottom w:val="single" w:sz="2" w:space="0" w:color="auto"/>
              <w:right w:val="single" w:sz="2" w:space="0" w:color="auto"/>
            </w:tcBorders>
            <w:vAlign w:val="center"/>
          </w:tcPr>
          <w:p w:rsidR="004C0B5A" w:rsidRPr="00DA2679" w:rsidRDefault="005A459F" w:rsidP="006415FC">
            <w:pPr>
              <w:jc w:val="right"/>
              <w:rPr>
                <w:rFonts w:ascii="Times New Roman" w:eastAsia="宋体" w:hAnsi="Times New Roman" w:cs="Times New Roman"/>
                <w:color w:val="000000"/>
                <w:szCs w:val="21"/>
              </w:rPr>
            </w:pPr>
            <w:r w:rsidRPr="00DA2679">
              <w:rPr>
                <w:rFonts w:ascii="Times New Roman" w:hAnsi="Times New Roman" w:cs="Times New Roman"/>
                <w:color w:val="000000"/>
                <w:szCs w:val="21"/>
              </w:rPr>
              <w:t xml:space="preserve">7,648,530.93 </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bl>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其他符合非经常性损益定义的损益项目的具体情况</w:t>
      </w:r>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不适用</w:t>
      </w:r>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公司不存在其他符合非经常性损益定义的损益项目的具体情况。</w:t>
      </w:r>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将《公开发行证券的公司信息披露解释性公告第</w:t>
      </w:r>
      <w:r w:rsidRPr="00DA2679">
        <w:rPr>
          <w:rFonts w:ascii="Times New Roman" w:hAnsi="Times New Roman" w:cs="Times New Roman"/>
          <w:sz w:val="24"/>
          <w:szCs w:val="24"/>
        </w:rPr>
        <w:t>1</w:t>
      </w:r>
      <w:r w:rsidRPr="00DA2679">
        <w:rPr>
          <w:rFonts w:ascii="Times New Roman" w:hAnsi="Times New Roman" w:cs="Times New Roman"/>
          <w:sz w:val="24"/>
          <w:szCs w:val="24"/>
        </w:rPr>
        <w:t>号</w:t>
      </w:r>
      <w:r w:rsidRPr="00DA2679">
        <w:rPr>
          <w:rFonts w:ascii="Times New Roman" w:hAnsi="Times New Roman" w:cs="Times New Roman"/>
          <w:sz w:val="24"/>
          <w:szCs w:val="24"/>
        </w:rPr>
        <w:t>——</w:t>
      </w:r>
      <w:r w:rsidRPr="00DA2679">
        <w:rPr>
          <w:rFonts w:ascii="Times New Roman" w:hAnsi="Times New Roman" w:cs="Times New Roman"/>
          <w:sz w:val="24"/>
          <w:szCs w:val="24"/>
        </w:rPr>
        <w:t>非经常性损益》中列举的非经常性损益项目界定为经常性损益项目的情况说明</w:t>
      </w:r>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不适用</w:t>
      </w:r>
    </w:p>
    <w:p w:rsidR="004C0B5A" w:rsidRPr="00DA2679" w:rsidRDefault="00174986" w:rsidP="00AE2ABB">
      <w:pPr>
        <w:spacing w:line="360" w:lineRule="auto"/>
        <w:jc w:val="both"/>
        <w:rPr>
          <w:rFonts w:ascii="Times New Roman" w:hAnsi="Times New Roman" w:cs="Times New Roman"/>
          <w:sz w:val="24"/>
          <w:szCs w:val="24"/>
        </w:rPr>
      </w:pPr>
      <w:r w:rsidRPr="00DA2679">
        <w:rPr>
          <w:rFonts w:ascii="Times New Roman" w:hAnsi="Times New Roman" w:cs="Times New Roman"/>
          <w:sz w:val="24"/>
          <w:szCs w:val="24"/>
        </w:rPr>
        <w:t>公司不存在将《公开发行证券的公司信息披露解释性公告第</w:t>
      </w:r>
      <w:r w:rsidRPr="00DA2679">
        <w:rPr>
          <w:rFonts w:ascii="Times New Roman" w:hAnsi="Times New Roman" w:cs="Times New Roman"/>
          <w:sz w:val="24"/>
          <w:szCs w:val="24"/>
        </w:rPr>
        <w:t>1</w:t>
      </w:r>
      <w:r w:rsidRPr="00DA2679">
        <w:rPr>
          <w:rFonts w:ascii="Times New Roman" w:hAnsi="Times New Roman" w:cs="Times New Roman"/>
          <w:sz w:val="24"/>
          <w:szCs w:val="24"/>
        </w:rPr>
        <w:t>号</w:t>
      </w:r>
      <w:r w:rsidRPr="00DA2679">
        <w:rPr>
          <w:rFonts w:ascii="Times New Roman" w:hAnsi="Times New Roman" w:cs="Times New Roman"/>
          <w:sz w:val="24"/>
          <w:szCs w:val="24"/>
        </w:rPr>
        <w:t>——</w:t>
      </w:r>
      <w:r w:rsidRPr="00DA2679">
        <w:rPr>
          <w:rFonts w:ascii="Times New Roman" w:hAnsi="Times New Roman" w:cs="Times New Roman"/>
          <w:sz w:val="24"/>
          <w:szCs w:val="24"/>
        </w:rPr>
        <w:t>非经常性损益》中列举的非经常性损益项目界定为经常性损益的项目的情形。</w:t>
      </w:r>
    </w:p>
    <w:p w:rsidR="004C0B5A" w:rsidRPr="00DA2679" w:rsidRDefault="00174986">
      <w:pPr>
        <w:pStyle w:val="2"/>
        <w:spacing w:before="300" w:after="300" w:line="280" w:lineRule="exact"/>
        <w:rPr>
          <w:rFonts w:ascii="Times New Roman" w:eastAsia="宋体" w:hAnsi="Times New Roman" w:cs="Times New Roman"/>
          <w:b/>
          <w:bCs/>
          <w:sz w:val="24"/>
          <w:szCs w:val="24"/>
        </w:rPr>
      </w:pPr>
      <w:bookmarkStart w:id="3" w:name="_Toc988892"/>
      <w:r w:rsidRPr="00DA2679">
        <w:rPr>
          <w:rFonts w:ascii="Times New Roman" w:eastAsia="宋体" w:hAnsi="Times New Roman" w:cs="Times New Roman"/>
          <w:b/>
          <w:bCs/>
          <w:sz w:val="24"/>
          <w:szCs w:val="24"/>
        </w:rPr>
        <w:t>（三）</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主要会计数据和财务指标发生变动的情况及原因</w:t>
      </w:r>
      <w:bookmarkEnd w:id="3"/>
    </w:p>
    <w:p w:rsidR="004C0B5A" w:rsidRPr="00DA2679" w:rsidRDefault="00174986">
      <w:pPr>
        <w:spacing w:line="240" w:lineRule="exact"/>
        <w:rPr>
          <w:rFonts w:ascii="Times New Roman" w:hAnsi="Times New Roman" w:cs="Times New Roman"/>
          <w:sz w:val="24"/>
          <w:szCs w:val="24"/>
        </w:rPr>
      </w:pP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t>不适用</w:t>
      </w:r>
    </w:p>
    <w:p w:rsidR="00174986" w:rsidRPr="00DA2679" w:rsidRDefault="00174986" w:rsidP="00AE2ABB">
      <w:pPr>
        <w:pStyle w:val="a3"/>
        <w:spacing w:before="156" w:beforeAutospacing="0" w:after="0" w:afterAutospacing="0" w:line="360" w:lineRule="auto"/>
        <w:ind w:firstLine="482"/>
        <w:jc w:val="both"/>
        <w:divId w:val="963535864"/>
        <w:rPr>
          <w:rFonts w:ascii="Times New Roman" w:hAnsi="Times New Roman" w:cs="Times New Roman"/>
          <w:sz w:val="18"/>
          <w:szCs w:val="18"/>
        </w:rPr>
      </w:pPr>
      <w:r w:rsidRPr="00DA2679">
        <w:rPr>
          <w:rStyle w:val="a4"/>
          <w:rFonts w:ascii="Times New Roman" w:hAnsi="Times New Roman" w:cs="Times New Roman"/>
        </w:rPr>
        <w:t xml:space="preserve">1. </w:t>
      </w:r>
      <w:r w:rsidRPr="00DA2679">
        <w:rPr>
          <w:rStyle w:val="a4"/>
          <w:rFonts w:ascii="Times New Roman" w:hAnsi="Times New Roman" w:cs="Times New Roman"/>
        </w:rPr>
        <w:t>资产负债表项目变动说明：</w:t>
      </w:r>
    </w:p>
    <w:p w:rsidR="00174986" w:rsidRPr="00DA2679" w:rsidRDefault="00174986" w:rsidP="00AE2ABB">
      <w:pPr>
        <w:pStyle w:val="a3"/>
        <w:spacing w:before="156" w:beforeAutospacing="0" w:after="0" w:afterAutospacing="0"/>
        <w:ind w:firstLine="482"/>
        <w:jc w:val="right"/>
        <w:divId w:val="963535864"/>
        <w:rPr>
          <w:rFonts w:ascii="Times New Roman" w:hAnsi="Times New Roman" w:cs="Times New Roman"/>
          <w:sz w:val="21"/>
          <w:szCs w:val="21"/>
        </w:rPr>
      </w:pPr>
      <w:r w:rsidRPr="00DA2679">
        <w:rPr>
          <w:rStyle w:val="a4"/>
          <w:rFonts w:ascii="Times New Roman" w:hAnsi="Times New Roman" w:cs="Times New Roman"/>
          <w:sz w:val="21"/>
          <w:szCs w:val="21"/>
        </w:rPr>
        <w:t>单位：万元</w:t>
      </w:r>
    </w:p>
    <w:tbl>
      <w:tblPr>
        <w:tblW w:w="9628" w:type="dxa"/>
        <w:jc w:val="center"/>
        <w:tblCellMar>
          <w:left w:w="0" w:type="dxa"/>
          <w:right w:w="0" w:type="dxa"/>
        </w:tblCellMar>
        <w:tblLook w:val="04A0" w:firstRow="1" w:lastRow="0" w:firstColumn="1" w:lastColumn="0" w:noHBand="0" w:noVBand="1"/>
      </w:tblPr>
      <w:tblGrid>
        <w:gridCol w:w="3154"/>
        <w:gridCol w:w="1660"/>
        <w:gridCol w:w="1660"/>
        <w:gridCol w:w="1660"/>
        <w:gridCol w:w="1494"/>
      </w:tblGrid>
      <w:tr w:rsidR="00174986" w:rsidRPr="00DA2679" w:rsidTr="00AE2ABB">
        <w:trPr>
          <w:divId w:val="963535864"/>
          <w:trHeight w:val="375"/>
          <w:jc w:val="center"/>
        </w:trPr>
        <w:tc>
          <w:tcPr>
            <w:tcW w:w="3154"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项目</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期末数</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年初数</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变动金额</w:t>
            </w:r>
          </w:p>
        </w:tc>
        <w:tc>
          <w:tcPr>
            <w:tcW w:w="1494"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变动幅度</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应收账款</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55,230.49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25,939.82</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29,290.67</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112.92%</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预付款项</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3,494.42</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1,003.84</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2,490.58</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248.11%</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其他应收款</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477.64</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274.99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202.65</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73.69%</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其他流动资产</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174.37</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8,656.05</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-8,481.68</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-97.99%</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开发支出</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633.66</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1,586.59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-952.93</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-60.06%</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应付账款</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9,686.20</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16,086.80</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-6,400.60</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-39.79%</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合同负债</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1,090.31</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659.14</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431.17</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65.41%</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应付职工薪酬</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6,075.16</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8,775.91</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-2,700.75</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-30.77%</w:t>
            </w:r>
          </w:p>
        </w:tc>
      </w:tr>
      <w:tr w:rsidR="00174986" w:rsidRPr="00DA2679" w:rsidTr="00AE2ABB">
        <w:trPr>
          <w:divId w:val="963535864"/>
          <w:trHeight w:val="375"/>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应交税费</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2,002.05</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941.58</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1,060.47</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112.63%</w:t>
            </w:r>
          </w:p>
        </w:tc>
      </w:tr>
      <w:tr w:rsidR="00174986" w:rsidRPr="00DA2679" w:rsidTr="00AE2ABB">
        <w:trPr>
          <w:divId w:val="963535864"/>
          <w:trHeight w:val="300"/>
          <w:jc w:val="center"/>
        </w:trPr>
        <w:tc>
          <w:tcPr>
            <w:tcW w:w="3154"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其他流动负债</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141.74</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62.72</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79.02</w:t>
            </w:r>
          </w:p>
        </w:tc>
        <w:tc>
          <w:tcPr>
            <w:tcW w:w="1494"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125.99%</w:t>
            </w:r>
          </w:p>
        </w:tc>
      </w:tr>
    </w:tbl>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1</w:t>
      </w:r>
      <w:r w:rsidRPr="00DA2679">
        <w:rPr>
          <w:rFonts w:ascii="Times New Roman" w:hAnsi="Times New Roman" w:cs="Times New Roman"/>
        </w:rPr>
        <w:t>）应收账款期末数较年初数增加</w:t>
      </w:r>
      <w:r w:rsidRPr="00DA2679">
        <w:rPr>
          <w:rFonts w:ascii="Times New Roman" w:hAnsi="Times New Roman" w:cs="Times New Roman"/>
        </w:rPr>
        <w:t>29,290.67</w:t>
      </w:r>
      <w:r w:rsidRPr="00DA2679">
        <w:rPr>
          <w:rFonts w:ascii="Times New Roman" w:hAnsi="Times New Roman" w:cs="Times New Roman"/>
        </w:rPr>
        <w:t>万元，增幅</w:t>
      </w:r>
      <w:r w:rsidRPr="00DA2679">
        <w:rPr>
          <w:rFonts w:ascii="Times New Roman" w:hAnsi="Times New Roman" w:cs="Times New Roman"/>
        </w:rPr>
        <w:t>112.92%</w:t>
      </w:r>
      <w:r w:rsidRPr="00DA2679">
        <w:rPr>
          <w:rFonts w:ascii="Times New Roman" w:hAnsi="Times New Roman" w:cs="Times New Roman"/>
        </w:rPr>
        <w:t>，系应收账款信用政策周期性变化影响所致。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2</w:t>
      </w:r>
      <w:r w:rsidRPr="00DA2679">
        <w:rPr>
          <w:rFonts w:ascii="Times New Roman" w:hAnsi="Times New Roman" w:cs="Times New Roman"/>
        </w:rPr>
        <w:t>）预付款项期末数较年初数增加</w:t>
      </w:r>
      <w:r w:rsidRPr="00DA2679">
        <w:rPr>
          <w:rFonts w:ascii="Times New Roman" w:hAnsi="Times New Roman" w:cs="Times New Roman"/>
        </w:rPr>
        <w:t>2,490.58</w:t>
      </w:r>
      <w:r w:rsidRPr="00DA2679">
        <w:rPr>
          <w:rFonts w:ascii="Times New Roman" w:hAnsi="Times New Roman" w:cs="Times New Roman"/>
        </w:rPr>
        <w:t>万元，增幅</w:t>
      </w:r>
      <w:r w:rsidRPr="00DA2679">
        <w:rPr>
          <w:rFonts w:ascii="Times New Roman" w:hAnsi="Times New Roman" w:cs="Times New Roman"/>
        </w:rPr>
        <w:t>248.11%</w:t>
      </w:r>
      <w:r w:rsidRPr="00DA2679">
        <w:rPr>
          <w:rFonts w:ascii="Times New Roman" w:hAnsi="Times New Roman" w:cs="Times New Roman"/>
        </w:rPr>
        <w:t>，系预付原料采购款增加所致。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3</w:t>
      </w:r>
      <w:r w:rsidRPr="00DA2679">
        <w:rPr>
          <w:rFonts w:ascii="Times New Roman" w:hAnsi="Times New Roman" w:cs="Times New Roman"/>
        </w:rPr>
        <w:t>）其他应收款期末数较年初数增加</w:t>
      </w:r>
      <w:r w:rsidRPr="00DA2679">
        <w:rPr>
          <w:rFonts w:ascii="Times New Roman" w:hAnsi="Times New Roman" w:cs="Times New Roman"/>
        </w:rPr>
        <w:t>202.65</w:t>
      </w:r>
      <w:r w:rsidRPr="00DA2679">
        <w:rPr>
          <w:rFonts w:ascii="Times New Roman" w:hAnsi="Times New Roman" w:cs="Times New Roman"/>
        </w:rPr>
        <w:t>万元，增幅</w:t>
      </w:r>
      <w:r w:rsidRPr="00DA2679">
        <w:rPr>
          <w:rFonts w:ascii="Times New Roman" w:hAnsi="Times New Roman" w:cs="Times New Roman"/>
        </w:rPr>
        <w:t>73.69%</w:t>
      </w:r>
      <w:r w:rsidRPr="00DA2679">
        <w:rPr>
          <w:rFonts w:ascii="Times New Roman" w:hAnsi="Times New Roman" w:cs="Times New Roman"/>
        </w:rPr>
        <w:t>，系应收出口退税款</w:t>
      </w:r>
      <w:r w:rsidR="00D25567" w:rsidRPr="00DA2679">
        <w:rPr>
          <w:rFonts w:ascii="Times New Roman" w:hAnsi="Times New Roman" w:cs="Times New Roman" w:hint="eastAsia"/>
        </w:rPr>
        <w:t>影响</w:t>
      </w:r>
      <w:r w:rsidRPr="00DA2679">
        <w:rPr>
          <w:rFonts w:ascii="Times New Roman" w:hAnsi="Times New Roman" w:cs="Times New Roman"/>
        </w:rPr>
        <w:t>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lastRenderedPageBreak/>
        <w:t>（</w:t>
      </w:r>
      <w:r w:rsidRPr="00DA2679">
        <w:rPr>
          <w:rFonts w:ascii="Times New Roman" w:hAnsi="Times New Roman" w:cs="Times New Roman"/>
        </w:rPr>
        <w:t>4</w:t>
      </w:r>
      <w:r w:rsidRPr="00DA2679">
        <w:rPr>
          <w:rFonts w:ascii="Times New Roman" w:hAnsi="Times New Roman" w:cs="Times New Roman"/>
        </w:rPr>
        <w:t>）其他流动资产期末数较年初数减少</w:t>
      </w:r>
      <w:r w:rsidRPr="00DA2679">
        <w:rPr>
          <w:rFonts w:ascii="Times New Roman" w:hAnsi="Times New Roman" w:cs="Times New Roman"/>
        </w:rPr>
        <w:t>8,481.68</w:t>
      </w:r>
      <w:r w:rsidRPr="00DA2679">
        <w:rPr>
          <w:rFonts w:ascii="Times New Roman" w:hAnsi="Times New Roman" w:cs="Times New Roman"/>
        </w:rPr>
        <w:t>万元，下降</w:t>
      </w:r>
      <w:r w:rsidRPr="00DA2679">
        <w:rPr>
          <w:rFonts w:ascii="Times New Roman" w:hAnsi="Times New Roman" w:cs="Times New Roman"/>
        </w:rPr>
        <w:t>97.99%</w:t>
      </w:r>
      <w:r w:rsidRPr="00DA2679">
        <w:rPr>
          <w:rFonts w:ascii="Times New Roman" w:hAnsi="Times New Roman" w:cs="Times New Roman"/>
        </w:rPr>
        <w:t>，</w:t>
      </w:r>
      <w:r w:rsidR="00B31067">
        <w:t>主要系收回其他流动资产款项</w:t>
      </w:r>
      <w:r w:rsidR="005C6B81">
        <w:rPr>
          <w:rFonts w:hint="eastAsia"/>
        </w:rPr>
        <w:t>所致</w:t>
      </w:r>
      <w:bookmarkStart w:id="4" w:name="_GoBack"/>
      <w:bookmarkEnd w:id="4"/>
      <w:r w:rsidRPr="00DA2679">
        <w:rPr>
          <w:rFonts w:ascii="Times New Roman" w:hAnsi="Times New Roman" w:cs="Times New Roman"/>
        </w:rPr>
        <w:t>。</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5</w:t>
      </w:r>
      <w:r w:rsidRPr="00DA2679">
        <w:rPr>
          <w:rFonts w:ascii="Times New Roman" w:hAnsi="Times New Roman" w:cs="Times New Roman"/>
        </w:rPr>
        <w:t>）开发支出期末数较年初数减少</w:t>
      </w:r>
      <w:r w:rsidRPr="00DA2679">
        <w:rPr>
          <w:rFonts w:ascii="Times New Roman" w:hAnsi="Times New Roman" w:cs="Times New Roman"/>
        </w:rPr>
        <w:t>952.93</w:t>
      </w:r>
      <w:r w:rsidRPr="00DA2679">
        <w:rPr>
          <w:rFonts w:ascii="Times New Roman" w:hAnsi="Times New Roman" w:cs="Times New Roman"/>
        </w:rPr>
        <w:t>万元，下降</w:t>
      </w:r>
      <w:r w:rsidRPr="00DA2679">
        <w:rPr>
          <w:rFonts w:ascii="Times New Roman" w:hAnsi="Times New Roman" w:cs="Times New Roman"/>
        </w:rPr>
        <w:t>60.06%</w:t>
      </w:r>
      <w:r w:rsidRPr="00DA2679">
        <w:rPr>
          <w:rFonts w:ascii="Times New Roman" w:hAnsi="Times New Roman" w:cs="Times New Roman"/>
        </w:rPr>
        <w:t>，系研发项目形成成果转无形资产所致。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6</w:t>
      </w:r>
      <w:r w:rsidRPr="00DA2679">
        <w:rPr>
          <w:rFonts w:ascii="Times New Roman" w:hAnsi="Times New Roman" w:cs="Times New Roman"/>
        </w:rPr>
        <w:t>）应付账款期末数较年初数减少</w:t>
      </w:r>
      <w:r w:rsidRPr="00DA2679">
        <w:rPr>
          <w:rFonts w:ascii="Times New Roman" w:hAnsi="Times New Roman" w:cs="Times New Roman"/>
        </w:rPr>
        <w:t>6,400.60</w:t>
      </w:r>
      <w:r w:rsidRPr="00DA2679">
        <w:rPr>
          <w:rFonts w:ascii="Times New Roman" w:hAnsi="Times New Roman" w:cs="Times New Roman"/>
        </w:rPr>
        <w:t>万元，下降</w:t>
      </w:r>
      <w:r w:rsidRPr="00DA2679">
        <w:rPr>
          <w:rFonts w:ascii="Times New Roman" w:hAnsi="Times New Roman" w:cs="Times New Roman"/>
        </w:rPr>
        <w:t>39.79%</w:t>
      </w:r>
      <w:r w:rsidRPr="00DA2679">
        <w:rPr>
          <w:rFonts w:ascii="Times New Roman" w:hAnsi="Times New Roman" w:cs="Times New Roman"/>
        </w:rPr>
        <w:t>，系</w:t>
      </w:r>
      <w:r w:rsidR="00D25567" w:rsidRPr="00DA2679">
        <w:rPr>
          <w:rFonts w:ascii="Times New Roman" w:hAnsi="Times New Roman" w:cs="Times New Roman" w:hint="eastAsia"/>
        </w:rPr>
        <w:t>支付</w:t>
      </w:r>
      <w:r w:rsidRPr="00DA2679">
        <w:rPr>
          <w:rFonts w:ascii="Times New Roman" w:hAnsi="Times New Roman" w:cs="Times New Roman"/>
        </w:rPr>
        <w:t>原料采购款所致。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7</w:t>
      </w:r>
      <w:r w:rsidRPr="00DA2679">
        <w:rPr>
          <w:rFonts w:ascii="Times New Roman" w:hAnsi="Times New Roman" w:cs="Times New Roman"/>
        </w:rPr>
        <w:t>）合同负债期末数较年初数增加</w:t>
      </w:r>
      <w:r w:rsidRPr="00DA2679">
        <w:rPr>
          <w:rFonts w:ascii="Times New Roman" w:hAnsi="Times New Roman" w:cs="Times New Roman"/>
        </w:rPr>
        <w:t>431.17</w:t>
      </w:r>
      <w:r w:rsidRPr="00DA2679">
        <w:rPr>
          <w:rFonts w:ascii="Times New Roman" w:hAnsi="Times New Roman" w:cs="Times New Roman"/>
        </w:rPr>
        <w:t>万元，增幅</w:t>
      </w:r>
      <w:r w:rsidRPr="00DA2679">
        <w:rPr>
          <w:rFonts w:ascii="Times New Roman" w:hAnsi="Times New Roman" w:cs="Times New Roman"/>
        </w:rPr>
        <w:t>65.41%</w:t>
      </w:r>
      <w:r w:rsidRPr="00DA2679">
        <w:rPr>
          <w:rFonts w:ascii="Times New Roman" w:hAnsi="Times New Roman" w:cs="Times New Roman"/>
        </w:rPr>
        <w:t>，系收到客户预付货款增加所致。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8</w:t>
      </w:r>
      <w:r w:rsidRPr="00DA2679">
        <w:rPr>
          <w:rFonts w:ascii="Times New Roman" w:hAnsi="Times New Roman" w:cs="Times New Roman"/>
        </w:rPr>
        <w:t>）应付职工薪酬期末数较年初数减少</w:t>
      </w:r>
      <w:r w:rsidRPr="00DA2679">
        <w:rPr>
          <w:rFonts w:ascii="Times New Roman" w:hAnsi="Times New Roman" w:cs="Times New Roman"/>
        </w:rPr>
        <w:t>2,700.75</w:t>
      </w:r>
      <w:r w:rsidRPr="00DA2679">
        <w:rPr>
          <w:rFonts w:ascii="Times New Roman" w:hAnsi="Times New Roman" w:cs="Times New Roman"/>
        </w:rPr>
        <w:t>万元，下降</w:t>
      </w:r>
      <w:r w:rsidRPr="00DA2679">
        <w:rPr>
          <w:rFonts w:ascii="Times New Roman" w:hAnsi="Times New Roman" w:cs="Times New Roman"/>
        </w:rPr>
        <w:t>30.77%</w:t>
      </w:r>
      <w:r w:rsidRPr="00DA2679">
        <w:rPr>
          <w:rFonts w:ascii="Times New Roman" w:hAnsi="Times New Roman" w:cs="Times New Roman"/>
        </w:rPr>
        <w:t>，系报告期支付上年度</w:t>
      </w:r>
      <w:r w:rsidR="00C06A88" w:rsidRPr="00DA2679">
        <w:rPr>
          <w:rFonts w:ascii="Times New Roman" w:hAnsi="Times New Roman" w:cs="Times New Roman" w:hint="eastAsia"/>
        </w:rPr>
        <w:t>职工</w:t>
      </w:r>
      <w:r w:rsidRPr="00DA2679">
        <w:rPr>
          <w:rFonts w:ascii="Times New Roman" w:hAnsi="Times New Roman" w:cs="Times New Roman"/>
        </w:rPr>
        <w:t>年终奖所致。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9</w:t>
      </w:r>
      <w:r w:rsidRPr="00DA2679">
        <w:rPr>
          <w:rFonts w:ascii="Times New Roman" w:hAnsi="Times New Roman" w:cs="Times New Roman"/>
        </w:rPr>
        <w:t>）应交税费期末数较年初数增加</w:t>
      </w:r>
      <w:r w:rsidRPr="00DA2679">
        <w:rPr>
          <w:rFonts w:ascii="Times New Roman" w:hAnsi="Times New Roman" w:cs="Times New Roman"/>
        </w:rPr>
        <w:t>1,060.47</w:t>
      </w:r>
      <w:r w:rsidRPr="00DA2679">
        <w:rPr>
          <w:rFonts w:ascii="Times New Roman" w:hAnsi="Times New Roman" w:cs="Times New Roman"/>
        </w:rPr>
        <w:t>万元，增幅</w:t>
      </w:r>
      <w:r w:rsidRPr="00DA2679">
        <w:rPr>
          <w:rFonts w:ascii="Times New Roman" w:hAnsi="Times New Roman" w:cs="Times New Roman"/>
        </w:rPr>
        <w:t>112.63%</w:t>
      </w:r>
      <w:r w:rsidRPr="00DA2679">
        <w:rPr>
          <w:rFonts w:ascii="Times New Roman" w:hAnsi="Times New Roman" w:cs="Times New Roman"/>
        </w:rPr>
        <w:t>，</w:t>
      </w:r>
      <w:r w:rsidR="00D25567" w:rsidRPr="00DA2679">
        <w:rPr>
          <w:rFonts w:ascii="Times New Roman" w:hAnsi="Times New Roman" w:cs="Times New Roman" w:hint="eastAsia"/>
        </w:rPr>
        <w:t>主要</w:t>
      </w:r>
      <w:r w:rsidRPr="00DA2679">
        <w:rPr>
          <w:rFonts w:ascii="Times New Roman" w:hAnsi="Times New Roman" w:cs="Times New Roman"/>
        </w:rPr>
        <w:t>系报告期</w:t>
      </w:r>
      <w:r w:rsidR="00C06A88" w:rsidRPr="00DA2679">
        <w:rPr>
          <w:rFonts w:ascii="Times New Roman" w:hAnsi="Times New Roman" w:cs="Times New Roman" w:hint="eastAsia"/>
        </w:rPr>
        <w:t>应付</w:t>
      </w:r>
      <w:r w:rsidRPr="00DA2679">
        <w:rPr>
          <w:rFonts w:ascii="Times New Roman" w:hAnsi="Times New Roman" w:cs="Times New Roman"/>
        </w:rPr>
        <w:t>企业所得税及代扣代缴职工个人所得税增加所致。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sz w:val="18"/>
          <w:szCs w:val="18"/>
        </w:rPr>
      </w:pPr>
      <w:r w:rsidRPr="00DA2679">
        <w:rPr>
          <w:rFonts w:ascii="Times New Roman" w:hAnsi="Times New Roman" w:cs="Times New Roman"/>
        </w:rPr>
        <w:t>（</w:t>
      </w:r>
      <w:r w:rsidRPr="00DA2679">
        <w:rPr>
          <w:rFonts w:ascii="Times New Roman" w:hAnsi="Times New Roman" w:cs="Times New Roman"/>
        </w:rPr>
        <w:t>10</w:t>
      </w:r>
      <w:r w:rsidRPr="00DA2679">
        <w:rPr>
          <w:rFonts w:ascii="Times New Roman" w:hAnsi="Times New Roman" w:cs="Times New Roman"/>
        </w:rPr>
        <w:t>）其他流动负债期末数较年初数增加</w:t>
      </w:r>
      <w:r w:rsidRPr="00DA2679">
        <w:rPr>
          <w:rFonts w:ascii="Times New Roman" w:hAnsi="Times New Roman" w:cs="Times New Roman"/>
        </w:rPr>
        <w:t>79.02</w:t>
      </w:r>
      <w:r w:rsidRPr="00DA2679">
        <w:rPr>
          <w:rFonts w:ascii="Times New Roman" w:hAnsi="Times New Roman" w:cs="Times New Roman"/>
        </w:rPr>
        <w:t>万元，增幅</w:t>
      </w:r>
      <w:r w:rsidRPr="00DA2679">
        <w:rPr>
          <w:rFonts w:ascii="Times New Roman" w:hAnsi="Times New Roman" w:cs="Times New Roman"/>
        </w:rPr>
        <w:t>125.99%</w:t>
      </w:r>
      <w:r w:rsidRPr="00DA2679">
        <w:rPr>
          <w:rFonts w:ascii="Times New Roman" w:hAnsi="Times New Roman" w:cs="Times New Roman"/>
        </w:rPr>
        <w:t>，系收到客户预付货款增加所致。</w:t>
      </w:r>
    </w:p>
    <w:p w:rsidR="00174986" w:rsidRPr="00DA2679" w:rsidRDefault="00174986" w:rsidP="00AE2ABB">
      <w:pPr>
        <w:pStyle w:val="a3"/>
        <w:spacing w:before="156" w:beforeAutospacing="0" w:after="0" w:afterAutospacing="0" w:line="360" w:lineRule="auto"/>
        <w:ind w:firstLine="482"/>
        <w:jc w:val="both"/>
        <w:divId w:val="963535864"/>
        <w:rPr>
          <w:rStyle w:val="a4"/>
          <w:rFonts w:ascii="Times New Roman" w:hAnsi="Times New Roman" w:cs="Times New Roman"/>
        </w:rPr>
      </w:pPr>
      <w:r w:rsidRPr="00DA2679">
        <w:rPr>
          <w:rStyle w:val="a4"/>
          <w:rFonts w:ascii="Times New Roman" w:hAnsi="Times New Roman" w:cs="Times New Roman"/>
        </w:rPr>
        <w:t>2. </w:t>
      </w:r>
      <w:r w:rsidRPr="00DA2679">
        <w:rPr>
          <w:rStyle w:val="a4"/>
          <w:rFonts w:ascii="Times New Roman" w:hAnsi="Times New Roman" w:cs="Times New Roman"/>
        </w:rPr>
        <w:t>利润表项目变动说明：</w:t>
      </w:r>
    </w:p>
    <w:p w:rsidR="00174986" w:rsidRPr="00DA2679" w:rsidRDefault="00174986" w:rsidP="00AE2ABB">
      <w:pPr>
        <w:pStyle w:val="a3"/>
        <w:spacing w:before="156" w:beforeAutospacing="0" w:after="0" w:afterAutospacing="0"/>
        <w:ind w:firstLine="482"/>
        <w:jc w:val="right"/>
        <w:divId w:val="963535864"/>
        <w:rPr>
          <w:rStyle w:val="a4"/>
          <w:rFonts w:ascii="Times New Roman" w:hAnsi="Times New Roman" w:cs="Times New Roman"/>
          <w:sz w:val="21"/>
          <w:szCs w:val="21"/>
        </w:rPr>
      </w:pPr>
      <w:r w:rsidRPr="00DA2679">
        <w:rPr>
          <w:rStyle w:val="a4"/>
          <w:rFonts w:ascii="Times New Roman" w:hAnsi="Times New Roman" w:cs="Times New Roman"/>
          <w:sz w:val="21"/>
          <w:szCs w:val="21"/>
        </w:rPr>
        <w:t>单位：万元</w:t>
      </w:r>
    </w:p>
    <w:tbl>
      <w:tblPr>
        <w:tblW w:w="9605" w:type="dxa"/>
        <w:jc w:val="center"/>
        <w:tblCellMar>
          <w:left w:w="0" w:type="dxa"/>
          <w:right w:w="0" w:type="dxa"/>
        </w:tblCellMar>
        <w:tblLook w:val="04A0" w:firstRow="1" w:lastRow="0" w:firstColumn="1" w:lastColumn="0" w:noHBand="0" w:noVBand="1"/>
      </w:tblPr>
      <w:tblGrid>
        <w:gridCol w:w="3701"/>
        <w:gridCol w:w="1412"/>
        <w:gridCol w:w="1417"/>
        <w:gridCol w:w="1418"/>
        <w:gridCol w:w="1657"/>
      </w:tblGrid>
      <w:tr w:rsidR="00174986" w:rsidRPr="00DA2679" w:rsidTr="00AE2ABB">
        <w:trPr>
          <w:divId w:val="963535864"/>
          <w:trHeight w:val="300"/>
          <w:jc w:val="center"/>
        </w:trPr>
        <w:tc>
          <w:tcPr>
            <w:tcW w:w="3701"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项目</w:t>
            </w:r>
          </w:p>
        </w:tc>
        <w:tc>
          <w:tcPr>
            <w:tcW w:w="1412"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573F36">
            <w:pPr>
              <w:jc w:val="center"/>
              <w:rPr>
                <w:rFonts w:ascii="Times New Roman" w:hAnsi="Times New Roman" w:cs="Times New Roman"/>
                <w:b/>
                <w:bCs/>
                <w:szCs w:val="21"/>
              </w:rPr>
            </w:pPr>
            <w:r w:rsidRPr="00DA2679">
              <w:rPr>
                <w:rFonts w:ascii="Times New Roman" w:hAnsi="Times New Roman" w:cs="Times New Roman" w:hint="eastAsia"/>
                <w:b/>
                <w:bCs/>
                <w:szCs w:val="21"/>
              </w:rPr>
              <w:t>本期金额</w:t>
            </w:r>
          </w:p>
        </w:tc>
        <w:tc>
          <w:tcPr>
            <w:tcW w:w="1417"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573F36">
            <w:pPr>
              <w:jc w:val="center"/>
              <w:rPr>
                <w:rFonts w:ascii="Times New Roman" w:hAnsi="Times New Roman" w:cs="Times New Roman"/>
                <w:b/>
                <w:bCs/>
                <w:szCs w:val="21"/>
              </w:rPr>
            </w:pPr>
            <w:r w:rsidRPr="00DA2679">
              <w:rPr>
                <w:rFonts w:ascii="Times New Roman" w:hAnsi="Times New Roman" w:cs="Times New Roman" w:hint="eastAsia"/>
                <w:b/>
                <w:bCs/>
                <w:szCs w:val="21"/>
              </w:rPr>
              <w:t>上年同期</w:t>
            </w:r>
            <w:r w:rsidRPr="00DA2679">
              <w:rPr>
                <w:rFonts w:ascii="Times New Roman" w:hAnsi="Times New Roman" w:cs="Times New Roman"/>
                <w:b/>
                <w:bCs/>
                <w:szCs w:val="21"/>
              </w:rPr>
              <w:t>金额</w:t>
            </w:r>
          </w:p>
        </w:tc>
        <w:tc>
          <w:tcPr>
            <w:tcW w:w="1418"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变动金额</w:t>
            </w:r>
          </w:p>
        </w:tc>
        <w:tc>
          <w:tcPr>
            <w:tcW w:w="1657"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变动幅度</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税金及附加</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300.93</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527.42</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-226.49</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-42.94%</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销售费用</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1,065.89</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774.09</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291.80</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37.70%</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研发费用</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1,533.70</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971.05</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562.65</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57.94%</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财务费用</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1,794.43</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1,222.79</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571.64</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46.75%</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投资收益（损失以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89.11</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131.22</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-42.11</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-32.09%</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资产减值损失（损失以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-401.30</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-279.50</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-121.80</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43.58%</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资产处置收益（损失以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2.82</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10.61</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-7.79</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-73.42%</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营业利润</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4,120.22</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7,780.66</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-3,660.44</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-47.05%</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营业外收入</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108.22</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16.49</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91.73</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556.28%</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营业外支出</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197.98</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64.05</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133.93</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209.10%</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利润总额</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4,030.46</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7,733.10</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-3,702.64</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-47.88%</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所得税费用</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513.96</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1,165.93</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-651.97</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-55.92%</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净利润</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3,516.49</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6,567.17</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-3,050.68</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-46.45%</w:t>
            </w:r>
          </w:p>
        </w:tc>
      </w:tr>
      <w:tr w:rsidR="00174986" w:rsidRPr="00DA2679" w:rsidTr="00AE2ABB">
        <w:trPr>
          <w:divId w:val="963535864"/>
          <w:trHeight w:val="375"/>
          <w:jc w:val="center"/>
        </w:trPr>
        <w:tc>
          <w:tcPr>
            <w:tcW w:w="3701"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归属于母公司所有者的净利润</w:t>
            </w:r>
          </w:p>
        </w:tc>
        <w:tc>
          <w:tcPr>
            <w:tcW w:w="1412"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3,507.09</w:t>
            </w:r>
          </w:p>
        </w:tc>
        <w:tc>
          <w:tcPr>
            <w:tcW w:w="141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6,569.52</w:t>
            </w:r>
          </w:p>
        </w:tc>
        <w:tc>
          <w:tcPr>
            <w:tcW w:w="1418"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-3,062.43</w:t>
            </w:r>
          </w:p>
        </w:tc>
        <w:tc>
          <w:tcPr>
            <w:tcW w:w="1657"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-46.62%</w:t>
            </w:r>
          </w:p>
        </w:tc>
      </w:tr>
    </w:tbl>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lastRenderedPageBreak/>
        <w:t>（</w:t>
      </w:r>
      <w:r w:rsidRPr="00DA2679">
        <w:rPr>
          <w:rFonts w:ascii="Times New Roman" w:hAnsi="Times New Roman" w:cs="Times New Roman"/>
        </w:rPr>
        <w:t>1</w:t>
      </w:r>
      <w:r w:rsidRPr="00DA2679">
        <w:rPr>
          <w:rFonts w:ascii="Times New Roman" w:hAnsi="Times New Roman" w:cs="Times New Roman"/>
        </w:rPr>
        <w:t>）税金及附加本期较上年同期减少</w:t>
      </w:r>
      <w:r w:rsidRPr="00DA2679">
        <w:rPr>
          <w:rFonts w:ascii="Times New Roman" w:hAnsi="Times New Roman" w:cs="Times New Roman"/>
        </w:rPr>
        <w:t>226.49</w:t>
      </w:r>
      <w:r w:rsidRPr="00DA2679">
        <w:rPr>
          <w:rFonts w:ascii="Times New Roman" w:hAnsi="Times New Roman" w:cs="Times New Roman"/>
        </w:rPr>
        <w:t>万元，下降</w:t>
      </w:r>
      <w:r w:rsidRPr="00DA2679">
        <w:rPr>
          <w:rFonts w:ascii="Times New Roman" w:hAnsi="Times New Roman" w:cs="Times New Roman"/>
        </w:rPr>
        <w:t>42.94%</w:t>
      </w:r>
      <w:r w:rsidRPr="00DA2679">
        <w:rPr>
          <w:rFonts w:ascii="Times New Roman" w:hAnsi="Times New Roman" w:cs="Times New Roman"/>
        </w:rPr>
        <w:t>，系缴纳增值税减少导致附加税</w:t>
      </w:r>
      <w:r w:rsidR="00D25567" w:rsidRPr="00DA2679">
        <w:rPr>
          <w:rFonts w:ascii="Times New Roman" w:hAnsi="Times New Roman" w:cs="Times New Roman" w:hint="eastAsia"/>
        </w:rPr>
        <w:t>同比</w:t>
      </w:r>
      <w:r w:rsidRPr="00DA2679">
        <w:rPr>
          <w:rFonts w:ascii="Times New Roman" w:hAnsi="Times New Roman" w:cs="Times New Roman"/>
        </w:rPr>
        <w:t>减少所致。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2</w:t>
      </w:r>
      <w:r w:rsidRPr="00DA2679">
        <w:rPr>
          <w:rFonts w:ascii="Times New Roman" w:hAnsi="Times New Roman" w:cs="Times New Roman"/>
        </w:rPr>
        <w:t>）销售费用本期较上年同期增加</w:t>
      </w:r>
      <w:r w:rsidRPr="00DA2679">
        <w:rPr>
          <w:rFonts w:ascii="Times New Roman" w:hAnsi="Times New Roman" w:cs="Times New Roman"/>
        </w:rPr>
        <w:t>291.80</w:t>
      </w:r>
      <w:r w:rsidRPr="00DA2679">
        <w:rPr>
          <w:rFonts w:ascii="Times New Roman" w:hAnsi="Times New Roman" w:cs="Times New Roman"/>
        </w:rPr>
        <w:t>万元，增幅</w:t>
      </w:r>
      <w:r w:rsidRPr="00DA2679">
        <w:rPr>
          <w:rFonts w:ascii="Times New Roman" w:hAnsi="Times New Roman" w:cs="Times New Roman"/>
        </w:rPr>
        <w:t>37.70%</w:t>
      </w:r>
      <w:r w:rsidRPr="00DA2679">
        <w:rPr>
          <w:rFonts w:ascii="Times New Roman" w:hAnsi="Times New Roman" w:cs="Times New Roman"/>
        </w:rPr>
        <w:t>，系开拓市场发生的差旅费、业务招待费</w:t>
      </w:r>
      <w:r w:rsidR="00B60BB6" w:rsidRPr="00DA2679">
        <w:rPr>
          <w:rFonts w:ascii="Times New Roman" w:hAnsi="Times New Roman" w:cs="Times New Roman" w:hint="eastAsia"/>
        </w:rPr>
        <w:t>、</w:t>
      </w:r>
      <w:r w:rsidRPr="00DA2679">
        <w:rPr>
          <w:rFonts w:ascii="Times New Roman" w:hAnsi="Times New Roman" w:cs="Times New Roman"/>
        </w:rPr>
        <w:t>业务宣传费</w:t>
      </w:r>
      <w:r w:rsidR="00B60BB6" w:rsidRPr="00DA2679">
        <w:rPr>
          <w:rFonts w:ascii="Times New Roman" w:hAnsi="Times New Roman" w:cs="Times New Roman" w:hint="eastAsia"/>
        </w:rPr>
        <w:t>及无偿样品同比</w:t>
      </w:r>
      <w:r w:rsidRPr="00DA2679">
        <w:rPr>
          <w:rFonts w:ascii="Times New Roman" w:hAnsi="Times New Roman" w:cs="Times New Roman"/>
        </w:rPr>
        <w:t>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3</w:t>
      </w:r>
      <w:r w:rsidRPr="00DA2679">
        <w:rPr>
          <w:rFonts w:ascii="Times New Roman" w:hAnsi="Times New Roman" w:cs="Times New Roman"/>
        </w:rPr>
        <w:t>）研发费用本期较上年同期增加</w:t>
      </w:r>
      <w:r w:rsidRPr="00DA2679">
        <w:rPr>
          <w:rFonts w:ascii="Times New Roman" w:hAnsi="Times New Roman" w:cs="Times New Roman"/>
        </w:rPr>
        <w:t>562.65</w:t>
      </w:r>
      <w:r w:rsidRPr="00DA2679">
        <w:rPr>
          <w:rFonts w:ascii="Times New Roman" w:hAnsi="Times New Roman" w:cs="Times New Roman"/>
        </w:rPr>
        <w:t>万元，增幅</w:t>
      </w:r>
      <w:r w:rsidRPr="00DA2679">
        <w:rPr>
          <w:rFonts w:ascii="Times New Roman" w:hAnsi="Times New Roman" w:cs="Times New Roman"/>
        </w:rPr>
        <w:t>57.94%</w:t>
      </w:r>
      <w:r w:rsidRPr="00DA2679">
        <w:rPr>
          <w:rFonts w:ascii="Times New Roman" w:hAnsi="Times New Roman" w:cs="Times New Roman"/>
        </w:rPr>
        <w:t>，系公司加大研发投入所致。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4</w:t>
      </w:r>
      <w:r w:rsidRPr="00DA2679">
        <w:rPr>
          <w:rFonts w:ascii="Times New Roman" w:hAnsi="Times New Roman" w:cs="Times New Roman"/>
        </w:rPr>
        <w:t>）财务费用本期较上年同期增加</w:t>
      </w:r>
      <w:r w:rsidRPr="00DA2679">
        <w:rPr>
          <w:rFonts w:ascii="Times New Roman" w:hAnsi="Times New Roman" w:cs="Times New Roman"/>
        </w:rPr>
        <w:t>571.64</w:t>
      </w:r>
      <w:r w:rsidRPr="00DA2679">
        <w:rPr>
          <w:rFonts w:ascii="Times New Roman" w:hAnsi="Times New Roman" w:cs="Times New Roman"/>
        </w:rPr>
        <w:t>万元，增幅</w:t>
      </w:r>
      <w:r w:rsidRPr="00DA2679">
        <w:rPr>
          <w:rFonts w:ascii="Times New Roman" w:hAnsi="Times New Roman" w:cs="Times New Roman"/>
        </w:rPr>
        <w:t>46.75%</w:t>
      </w:r>
      <w:r w:rsidRPr="00DA2679">
        <w:rPr>
          <w:rFonts w:ascii="Times New Roman" w:hAnsi="Times New Roman" w:cs="Times New Roman"/>
        </w:rPr>
        <w:t>，系利息收入同比减少</w:t>
      </w:r>
      <w:r w:rsidR="00D25567" w:rsidRPr="00DA2679">
        <w:rPr>
          <w:rFonts w:ascii="Times New Roman" w:hAnsi="Times New Roman" w:cs="Times New Roman" w:hint="eastAsia"/>
        </w:rPr>
        <w:t>，</w:t>
      </w:r>
      <w:r w:rsidRPr="00DA2679">
        <w:rPr>
          <w:rFonts w:ascii="Times New Roman" w:hAnsi="Times New Roman" w:cs="Times New Roman"/>
        </w:rPr>
        <w:t>利息支出同比增加共同</w:t>
      </w:r>
      <w:r w:rsidRPr="00DA2679">
        <w:rPr>
          <w:rFonts w:ascii="Times New Roman" w:hAnsi="Times New Roman" w:cs="Times New Roman" w:hint="eastAsia"/>
        </w:rPr>
        <w:t>影响所致。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5</w:t>
      </w:r>
      <w:r w:rsidRPr="00DA2679">
        <w:rPr>
          <w:rFonts w:ascii="Times New Roman" w:hAnsi="Times New Roman" w:cs="Times New Roman"/>
        </w:rPr>
        <w:t>）投资收益本期较上年同期减少</w:t>
      </w:r>
      <w:r w:rsidRPr="00DA2679">
        <w:rPr>
          <w:rFonts w:ascii="Times New Roman" w:hAnsi="Times New Roman" w:cs="Times New Roman"/>
        </w:rPr>
        <w:t>42.11</w:t>
      </w:r>
      <w:r w:rsidRPr="00DA2679">
        <w:rPr>
          <w:rFonts w:ascii="Times New Roman" w:hAnsi="Times New Roman" w:cs="Times New Roman"/>
        </w:rPr>
        <w:t>万元，下降</w:t>
      </w:r>
      <w:r w:rsidRPr="00DA2679">
        <w:rPr>
          <w:rFonts w:ascii="Times New Roman" w:hAnsi="Times New Roman" w:cs="Times New Roman"/>
        </w:rPr>
        <w:t>32.09%</w:t>
      </w:r>
      <w:r w:rsidRPr="00DA2679">
        <w:rPr>
          <w:rFonts w:ascii="Times New Roman" w:hAnsi="Times New Roman" w:cs="Times New Roman"/>
        </w:rPr>
        <w:t>，系应收款项融资贴现利息同比增加所致。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6</w:t>
      </w:r>
      <w:r w:rsidRPr="00DA2679">
        <w:rPr>
          <w:rFonts w:ascii="Times New Roman" w:hAnsi="Times New Roman" w:cs="Times New Roman"/>
        </w:rPr>
        <w:t>）资产减值损失本期较上年同期计提增加</w:t>
      </w:r>
      <w:r w:rsidRPr="00DA2679">
        <w:rPr>
          <w:rFonts w:ascii="Times New Roman" w:hAnsi="Times New Roman" w:cs="Times New Roman"/>
        </w:rPr>
        <w:t>121.80</w:t>
      </w:r>
      <w:r w:rsidRPr="00DA2679">
        <w:rPr>
          <w:rFonts w:ascii="Times New Roman" w:hAnsi="Times New Roman" w:cs="Times New Roman"/>
        </w:rPr>
        <w:t>万元，变动幅度</w:t>
      </w:r>
      <w:r w:rsidRPr="00DA2679">
        <w:rPr>
          <w:rFonts w:ascii="Times New Roman" w:hAnsi="Times New Roman" w:cs="Times New Roman"/>
        </w:rPr>
        <w:t>43.58%</w:t>
      </w:r>
      <w:r w:rsidRPr="00DA2679">
        <w:rPr>
          <w:rFonts w:ascii="Times New Roman" w:hAnsi="Times New Roman" w:cs="Times New Roman"/>
        </w:rPr>
        <w:t>，系计提存货减值</w:t>
      </w:r>
      <w:r w:rsidR="00E728ED" w:rsidRPr="00DA2679">
        <w:rPr>
          <w:rFonts w:ascii="Times New Roman" w:hAnsi="Times New Roman" w:cs="Times New Roman" w:hint="eastAsia"/>
        </w:rPr>
        <w:t>同比增加</w:t>
      </w:r>
      <w:r w:rsidRPr="00DA2679">
        <w:rPr>
          <w:rFonts w:ascii="Times New Roman" w:hAnsi="Times New Roman" w:cs="Times New Roman"/>
        </w:rPr>
        <w:t>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7</w:t>
      </w:r>
      <w:r w:rsidRPr="00DA2679">
        <w:rPr>
          <w:rFonts w:ascii="Times New Roman" w:hAnsi="Times New Roman" w:cs="Times New Roman"/>
        </w:rPr>
        <w:t>）资产处置收益本期较上年同期减少</w:t>
      </w:r>
      <w:r w:rsidRPr="00DA2679">
        <w:rPr>
          <w:rFonts w:ascii="Times New Roman" w:hAnsi="Times New Roman" w:cs="Times New Roman"/>
        </w:rPr>
        <w:t>7.79</w:t>
      </w:r>
      <w:r w:rsidRPr="00DA2679">
        <w:rPr>
          <w:rFonts w:ascii="Times New Roman" w:hAnsi="Times New Roman" w:cs="Times New Roman"/>
        </w:rPr>
        <w:t>万元，下降</w:t>
      </w:r>
      <w:r w:rsidRPr="00DA2679">
        <w:rPr>
          <w:rFonts w:ascii="Times New Roman" w:hAnsi="Times New Roman" w:cs="Times New Roman"/>
        </w:rPr>
        <w:t>73.42%</w:t>
      </w:r>
      <w:r w:rsidRPr="00DA2679">
        <w:rPr>
          <w:rFonts w:ascii="Times New Roman" w:hAnsi="Times New Roman" w:cs="Times New Roman"/>
        </w:rPr>
        <w:t>，系对部分固定资产出售产生收益同比减少所致。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8</w:t>
      </w:r>
      <w:r w:rsidRPr="00DA2679">
        <w:rPr>
          <w:rFonts w:ascii="Times New Roman" w:hAnsi="Times New Roman" w:cs="Times New Roman"/>
        </w:rPr>
        <w:t>）营业外收入本期较上年同期增加</w:t>
      </w:r>
      <w:r w:rsidRPr="00DA2679">
        <w:rPr>
          <w:rFonts w:ascii="Times New Roman" w:hAnsi="Times New Roman" w:cs="Times New Roman"/>
        </w:rPr>
        <w:t>91.73</w:t>
      </w:r>
      <w:r w:rsidRPr="00DA2679">
        <w:rPr>
          <w:rFonts w:ascii="Times New Roman" w:hAnsi="Times New Roman" w:cs="Times New Roman"/>
        </w:rPr>
        <w:t>万元，增幅</w:t>
      </w:r>
      <w:r w:rsidRPr="00DA2679">
        <w:rPr>
          <w:rFonts w:ascii="Times New Roman" w:hAnsi="Times New Roman" w:cs="Times New Roman"/>
        </w:rPr>
        <w:t>556.28%</w:t>
      </w:r>
      <w:r w:rsidRPr="00DA2679">
        <w:rPr>
          <w:rFonts w:ascii="Times New Roman" w:hAnsi="Times New Roman" w:cs="Times New Roman"/>
        </w:rPr>
        <w:t>，系报告期收到产品保险赔付款所致。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9</w:t>
      </w:r>
      <w:r w:rsidRPr="00DA2679">
        <w:rPr>
          <w:rFonts w:ascii="Times New Roman" w:hAnsi="Times New Roman" w:cs="Times New Roman"/>
        </w:rPr>
        <w:t>）营业外支出本期较上年同期增加</w:t>
      </w:r>
      <w:r w:rsidRPr="00DA2679">
        <w:rPr>
          <w:rFonts w:ascii="Times New Roman" w:hAnsi="Times New Roman" w:cs="Times New Roman"/>
        </w:rPr>
        <w:t>133.93</w:t>
      </w:r>
      <w:r w:rsidRPr="00DA2679">
        <w:rPr>
          <w:rFonts w:ascii="Times New Roman" w:hAnsi="Times New Roman" w:cs="Times New Roman"/>
        </w:rPr>
        <w:t>万元，增幅</w:t>
      </w:r>
      <w:r w:rsidRPr="00DA2679">
        <w:rPr>
          <w:rFonts w:ascii="Times New Roman" w:hAnsi="Times New Roman" w:cs="Times New Roman"/>
        </w:rPr>
        <w:t>209.10%</w:t>
      </w:r>
      <w:r w:rsidRPr="00DA2679">
        <w:rPr>
          <w:rFonts w:ascii="Times New Roman" w:hAnsi="Times New Roman" w:cs="Times New Roman"/>
        </w:rPr>
        <w:t>，系对外捐赠</w:t>
      </w:r>
      <w:r w:rsidR="00D25567" w:rsidRPr="00DA2679">
        <w:rPr>
          <w:rFonts w:ascii="Times New Roman" w:hAnsi="Times New Roman" w:cs="Times New Roman" w:hint="eastAsia"/>
        </w:rPr>
        <w:t>同比</w:t>
      </w:r>
      <w:r w:rsidRPr="00DA2679">
        <w:rPr>
          <w:rFonts w:ascii="Times New Roman" w:hAnsi="Times New Roman" w:cs="Times New Roman"/>
        </w:rPr>
        <w:t>增加所致。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10</w:t>
      </w:r>
      <w:r w:rsidRPr="00DA2679">
        <w:rPr>
          <w:rFonts w:ascii="Times New Roman" w:hAnsi="Times New Roman" w:cs="Times New Roman"/>
        </w:rPr>
        <w:t>）所得税费用本期较上年同期减少</w:t>
      </w:r>
      <w:r w:rsidRPr="00DA2679">
        <w:rPr>
          <w:rFonts w:ascii="Times New Roman" w:hAnsi="Times New Roman" w:cs="Times New Roman"/>
        </w:rPr>
        <w:t>651.97</w:t>
      </w:r>
      <w:r w:rsidRPr="00DA2679">
        <w:rPr>
          <w:rFonts w:ascii="Times New Roman" w:hAnsi="Times New Roman" w:cs="Times New Roman"/>
        </w:rPr>
        <w:t>万元，下降</w:t>
      </w:r>
      <w:r w:rsidRPr="00DA2679">
        <w:rPr>
          <w:rFonts w:ascii="Times New Roman" w:hAnsi="Times New Roman" w:cs="Times New Roman"/>
        </w:rPr>
        <w:t>55.92%</w:t>
      </w:r>
      <w:r w:rsidRPr="00DA2679">
        <w:rPr>
          <w:rFonts w:ascii="Times New Roman" w:hAnsi="Times New Roman" w:cs="Times New Roman"/>
        </w:rPr>
        <w:t>，系母公司</w:t>
      </w:r>
      <w:r w:rsidR="00D25567" w:rsidRPr="00DA2679">
        <w:rPr>
          <w:rFonts w:ascii="Times New Roman" w:hAnsi="Times New Roman" w:cs="Times New Roman" w:hint="eastAsia"/>
        </w:rPr>
        <w:t>应纳税所得额减少导致</w:t>
      </w:r>
      <w:r w:rsidRPr="00DA2679">
        <w:rPr>
          <w:rFonts w:ascii="Times New Roman" w:hAnsi="Times New Roman" w:cs="Times New Roman"/>
        </w:rPr>
        <w:t>计提企业所得税同比减少所致。</w:t>
      </w:r>
    </w:p>
    <w:p w:rsidR="00174986" w:rsidRPr="00DA2679" w:rsidRDefault="00174986" w:rsidP="00AE2ABB">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11</w:t>
      </w:r>
      <w:r w:rsidRPr="00DA2679">
        <w:rPr>
          <w:rFonts w:ascii="Times New Roman" w:hAnsi="Times New Roman" w:cs="Times New Roman"/>
        </w:rPr>
        <w:t>）营业利润本期较上年同期减少</w:t>
      </w:r>
      <w:r w:rsidRPr="00DA2679">
        <w:rPr>
          <w:rFonts w:ascii="Times New Roman" w:hAnsi="Times New Roman" w:cs="Times New Roman"/>
        </w:rPr>
        <w:t>3,660.44</w:t>
      </w:r>
      <w:r w:rsidRPr="00DA2679">
        <w:rPr>
          <w:rFonts w:ascii="Times New Roman" w:hAnsi="Times New Roman" w:cs="Times New Roman"/>
        </w:rPr>
        <w:t>万元，下降</w:t>
      </w:r>
      <w:r w:rsidRPr="00DA2679">
        <w:rPr>
          <w:rFonts w:ascii="Times New Roman" w:hAnsi="Times New Roman" w:cs="Times New Roman"/>
        </w:rPr>
        <w:t>47.05%</w:t>
      </w:r>
      <w:r w:rsidRPr="00DA2679">
        <w:rPr>
          <w:rFonts w:ascii="Times New Roman" w:hAnsi="Times New Roman" w:cs="Times New Roman"/>
        </w:rPr>
        <w:t>；利润总额本期较上年同期减少</w:t>
      </w:r>
      <w:r w:rsidRPr="00DA2679">
        <w:rPr>
          <w:rFonts w:ascii="Times New Roman" w:hAnsi="Times New Roman" w:cs="Times New Roman"/>
        </w:rPr>
        <w:t>3,702.64</w:t>
      </w:r>
      <w:r w:rsidRPr="00DA2679">
        <w:rPr>
          <w:rFonts w:ascii="Times New Roman" w:hAnsi="Times New Roman" w:cs="Times New Roman"/>
        </w:rPr>
        <w:t>万元，下降</w:t>
      </w:r>
      <w:r w:rsidRPr="00DA2679">
        <w:rPr>
          <w:rFonts w:ascii="Times New Roman" w:hAnsi="Times New Roman" w:cs="Times New Roman"/>
        </w:rPr>
        <w:t>47.88%</w:t>
      </w:r>
      <w:r w:rsidRPr="00DA2679">
        <w:rPr>
          <w:rFonts w:ascii="Times New Roman" w:hAnsi="Times New Roman" w:cs="Times New Roman"/>
        </w:rPr>
        <w:t>；净利润本期较上年同期减少</w:t>
      </w:r>
      <w:r w:rsidRPr="00DA2679">
        <w:rPr>
          <w:rFonts w:ascii="Times New Roman" w:hAnsi="Times New Roman" w:cs="Times New Roman"/>
        </w:rPr>
        <w:t>3,050.68</w:t>
      </w:r>
      <w:r w:rsidRPr="00DA2679">
        <w:rPr>
          <w:rFonts w:ascii="Times New Roman" w:hAnsi="Times New Roman" w:cs="Times New Roman"/>
        </w:rPr>
        <w:t>万元，下降</w:t>
      </w:r>
      <w:r w:rsidRPr="00DA2679">
        <w:rPr>
          <w:rFonts w:ascii="Times New Roman" w:hAnsi="Times New Roman" w:cs="Times New Roman"/>
        </w:rPr>
        <w:t>46.45%</w:t>
      </w:r>
      <w:r w:rsidRPr="00DA2679">
        <w:rPr>
          <w:rFonts w:ascii="Times New Roman" w:hAnsi="Times New Roman" w:cs="Times New Roman"/>
        </w:rPr>
        <w:t>；归属于母公司所有者的净利润本期较上年同期减少</w:t>
      </w:r>
      <w:r w:rsidRPr="00DA2679">
        <w:rPr>
          <w:rFonts w:ascii="Times New Roman" w:hAnsi="Times New Roman" w:cs="Times New Roman"/>
        </w:rPr>
        <w:t>3,062.43</w:t>
      </w:r>
      <w:r w:rsidRPr="00DA2679">
        <w:rPr>
          <w:rFonts w:ascii="Times New Roman" w:hAnsi="Times New Roman" w:cs="Times New Roman"/>
        </w:rPr>
        <w:t>万元，下降</w:t>
      </w:r>
      <w:r w:rsidRPr="00DA2679">
        <w:rPr>
          <w:rFonts w:ascii="Times New Roman" w:hAnsi="Times New Roman" w:cs="Times New Roman"/>
        </w:rPr>
        <w:t>46.62%</w:t>
      </w:r>
      <w:r w:rsidR="008C7173" w:rsidRPr="00DA2679">
        <w:rPr>
          <w:rFonts w:ascii="Times New Roman" w:hAnsi="Times New Roman" w:cs="Times New Roman" w:hint="eastAsia"/>
        </w:rPr>
        <w:t>，</w:t>
      </w:r>
      <w:r w:rsidRPr="00DA2679">
        <w:rPr>
          <w:rFonts w:ascii="Times New Roman" w:hAnsi="Times New Roman" w:cs="Times New Roman"/>
        </w:rPr>
        <w:t>主要系报告期市场需求</w:t>
      </w:r>
      <w:r w:rsidR="00E728ED" w:rsidRPr="00DA2679">
        <w:rPr>
          <w:rFonts w:ascii="Times New Roman" w:hAnsi="Times New Roman" w:cs="Times New Roman" w:hint="eastAsia"/>
        </w:rPr>
        <w:t>减少</w:t>
      </w:r>
      <w:r w:rsidRPr="00DA2679">
        <w:rPr>
          <w:rFonts w:ascii="Times New Roman" w:hAnsi="Times New Roman" w:cs="Times New Roman"/>
        </w:rPr>
        <w:t>，产品销量及</w:t>
      </w:r>
      <w:r w:rsidRPr="00DA2679">
        <w:rPr>
          <w:rFonts w:ascii="Times New Roman" w:hAnsi="Times New Roman" w:cs="Times New Roman" w:hint="eastAsia"/>
        </w:rPr>
        <w:t>毛利率同比下降影响所致。</w:t>
      </w:r>
    </w:p>
    <w:p w:rsidR="00174986" w:rsidRPr="00DA2679" w:rsidRDefault="00174986" w:rsidP="00AE2ABB">
      <w:pPr>
        <w:pStyle w:val="a3"/>
        <w:spacing w:before="156" w:beforeAutospacing="0" w:after="0" w:afterAutospacing="0" w:line="360" w:lineRule="auto"/>
        <w:ind w:firstLine="482"/>
        <w:jc w:val="both"/>
        <w:divId w:val="963535864"/>
        <w:rPr>
          <w:rStyle w:val="a4"/>
          <w:rFonts w:ascii="Times New Roman" w:hAnsi="Times New Roman" w:cs="Times New Roman"/>
        </w:rPr>
      </w:pPr>
      <w:r w:rsidRPr="00DA2679">
        <w:rPr>
          <w:rStyle w:val="a4"/>
          <w:rFonts w:ascii="Times New Roman" w:hAnsi="Times New Roman" w:cs="Times New Roman"/>
        </w:rPr>
        <w:t xml:space="preserve">3. </w:t>
      </w:r>
      <w:r w:rsidRPr="00DA2679">
        <w:rPr>
          <w:rStyle w:val="a4"/>
          <w:rFonts w:ascii="Times New Roman" w:hAnsi="Times New Roman" w:cs="Times New Roman"/>
        </w:rPr>
        <w:t>现金流量表项目变动说明：</w:t>
      </w:r>
    </w:p>
    <w:p w:rsidR="00174986" w:rsidRPr="00DA2679" w:rsidRDefault="00174986" w:rsidP="00AE2ABB">
      <w:pPr>
        <w:pStyle w:val="a3"/>
        <w:spacing w:before="156" w:beforeAutospacing="0" w:after="0" w:afterAutospacing="0"/>
        <w:ind w:firstLine="482"/>
        <w:jc w:val="right"/>
        <w:divId w:val="963535864"/>
        <w:rPr>
          <w:rStyle w:val="a4"/>
          <w:rFonts w:ascii="Times New Roman" w:hAnsi="Times New Roman" w:cs="Times New Roman"/>
          <w:sz w:val="21"/>
          <w:szCs w:val="21"/>
        </w:rPr>
      </w:pPr>
      <w:r w:rsidRPr="00DA2679">
        <w:rPr>
          <w:rStyle w:val="a4"/>
          <w:rFonts w:ascii="Times New Roman" w:hAnsi="Times New Roman" w:cs="Times New Roman"/>
          <w:sz w:val="21"/>
          <w:szCs w:val="21"/>
        </w:rPr>
        <w:t>单位：万元</w:t>
      </w:r>
    </w:p>
    <w:tbl>
      <w:tblPr>
        <w:tblW w:w="9577" w:type="dxa"/>
        <w:jc w:val="center"/>
        <w:tblCellMar>
          <w:left w:w="0" w:type="dxa"/>
          <w:right w:w="0" w:type="dxa"/>
        </w:tblCellMar>
        <w:tblLook w:val="04A0" w:firstRow="1" w:lastRow="0" w:firstColumn="1" w:lastColumn="0" w:noHBand="0" w:noVBand="1"/>
      </w:tblPr>
      <w:tblGrid>
        <w:gridCol w:w="3117"/>
        <w:gridCol w:w="1660"/>
        <w:gridCol w:w="1660"/>
        <w:gridCol w:w="1660"/>
        <w:gridCol w:w="1480"/>
      </w:tblGrid>
      <w:tr w:rsidR="00174986" w:rsidRPr="00DA2679" w:rsidTr="00280009">
        <w:trPr>
          <w:divId w:val="963535864"/>
          <w:trHeight w:val="300"/>
          <w:jc w:val="center"/>
        </w:trPr>
        <w:tc>
          <w:tcPr>
            <w:tcW w:w="3117"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项目</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本期金额</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上年同期金额</w:t>
            </w:r>
          </w:p>
        </w:tc>
        <w:tc>
          <w:tcPr>
            <w:tcW w:w="166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变动金额</w:t>
            </w:r>
          </w:p>
        </w:tc>
        <w:tc>
          <w:tcPr>
            <w:tcW w:w="1480" w:type="dxa"/>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center"/>
              <w:rPr>
                <w:rFonts w:ascii="Times New Roman" w:hAnsi="Times New Roman" w:cs="Times New Roman"/>
                <w:b/>
                <w:bCs/>
                <w:szCs w:val="21"/>
              </w:rPr>
            </w:pPr>
            <w:r w:rsidRPr="00DA2679">
              <w:rPr>
                <w:rFonts w:ascii="Times New Roman" w:hAnsi="Times New Roman" w:cs="Times New Roman"/>
                <w:b/>
                <w:bCs/>
                <w:szCs w:val="21"/>
              </w:rPr>
              <w:t>变动幅度</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经营活动现金流入小计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59,312.79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61,469.29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-2,156.50</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-3.51%</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经营活动现金流出小计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73,935.57</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79,667.49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-5,731.92</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-7.19%</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经营活动产生的现金流量净额</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-14,622.78</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-18,198.20</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3,575.42</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19.65%</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lastRenderedPageBreak/>
              <w:t>投资活动现金流入小计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156.59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123.54</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33.05</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26.75%</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投资活动现金流出小计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2,002.05</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3,793.29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-1,791.24</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-47.22%</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投资活动产生的现金流量净额</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-1,845.47</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-3,669.76</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1,824.29</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49.71%</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筹资活动现金流入小计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36,426.00</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45,554.25</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-9,128.25</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-20.04%</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筹资活动现金流出小计</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29,515.71</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27,501.40</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2,014.31</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7.32%</w:t>
            </w:r>
          </w:p>
        </w:tc>
      </w:tr>
      <w:tr w:rsidR="00174986" w:rsidRPr="00DA2679" w:rsidTr="00280009">
        <w:trPr>
          <w:divId w:val="963535864"/>
          <w:trHeight w:val="375"/>
          <w:jc w:val="center"/>
        </w:trPr>
        <w:tc>
          <w:tcPr>
            <w:tcW w:w="3117"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both"/>
              <w:rPr>
                <w:rFonts w:ascii="Times New Roman" w:hAnsi="Times New Roman" w:cs="Times New Roman"/>
                <w:szCs w:val="21"/>
              </w:rPr>
            </w:pPr>
            <w:r w:rsidRPr="00DA2679">
              <w:rPr>
                <w:rFonts w:ascii="Times New Roman" w:hAnsi="Times New Roman" w:cs="Times New Roman"/>
                <w:szCs w:val="21"/>
              </w:rPr>
              <w:t>筹资活动产生的现金流量净额</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6,910.29</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18,052.85</w:t>
            </w:r>
          </w:p>
        </w:tc>
        <w:tc>
          <w:tcPr>
            <w:tcW w:w="166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-11,142.56</w:t>
            </w:r>
          </w:p>
        </w:tc>
        <w:tc>
          <w:tcPr>
            <w:tcW w:w="1480"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174986" w:rsidRPr="00DA2679" w:rsidRDefault="00174986">
            <w:pPr>
              <w:jc w:val="right"/>
              <w:rPr>
                <w:rFonts w:ascii="Times New Roman" w:hAnsi="Times New Roman" w:cs="Times New Roman"/>
                <w:szCs w:val="21"/>
              </w:rPr>
            </w:pPr>
            <w:r w:rsidRPr="00DA2679">
              <w:rPr>
                <w:rFonts w:ascii="Times New Roman" w:hAnsi="Times New Roman" w:cs="Times New Roman"/>
                <w:szCs w:val="21"/>
              </w:rPr>
              <w:t>-61.72%</w:t>
            </w:r>
          </w:p>
        </w:tc>
      </w:tr>
    </w:tbl>
    <w:p w:rsidR="00174986" w:rsidRPr="00DA2679" w:rsidRDefault="00174986" w:rsidP="00280009">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1</w:t>
      </w:r>
      <w:r w:rsidRPr="00DA2679">
        <w:rPr>
          <w:rFonts w:ascii="Times New Roman" w:hAnsi="Times New Roman" w:cs="Times New Roman"/>
        </w:rPr>
        <w:t>）投资活动现金流出小计本期较上年同期减少</w:t>
      </w:r>
      <w:r w:rsidRPr="00DA2679">
        <w:rPr>
          <w:rFonts w:ascii="Times New Roman" w:hAnsi="Times New Roman" w:cs="Times New Roman"/>
        </w:rPr>
        <w:t>1,791.24</w:t>
      </w:r>
      <w:r w:rsidRPr="00DA2679">
        <w:rPr>
          <w:rFonts w:ascii="Times New Roman" w:hAnsi="Times New Roman" w:cs="Times New Roman"/>
        </w:rPr>
        <w:t>万元，下降</w:t>
      </w:r>
      <w:r w:rsidRPr="00DA2679">
        <w:rPr>
          <w:rFonts w:ascii="Times New Roman" w:hAnsi="Times New Roman" w:cs="Times New Roman"/>
        </w:rPr>
        <w:t>47.22%</w:t>
      </w:r>
      <w:r w:rsidRPr="00DA2679">
        <w:rPr>
          <w:rFonts w:ascii="Times New Roman" w:hAnsi="Times New Roman" w:cs="Times New Roman"/>
        </w:rPr>
        <w:t>；投资活动产生的现金流量净额本期较上年同期增加</w:t>
      </w:r>
      <w:r w:rsidRPr="00DA2679">
        <w:rPr>
          <w:rFonts w:ascii="Times New Roman" w:hAnsi="Times New Roman" w:cs="Times New Roman"/>
        </w:rPr>
        <w:t>1,824.29</w:t>
      </w:r>
      <w:r w:rsidRPr="00DA2679">
        <w:rPr>
          <w:rFonts w:ascii="Times New Roman" w:hAnsi="Times New Roman" w:cs="Times New Roman"/>
        </w:rPr>
        <w:t>万元，增幅</w:t>
      </w:r>
      <w:r w:rsidRPr="00DA2679">
        <w:rPr>
          <w:rFonts w:ascii="Times New Roman" w:hAnsi="Times New Roman" w:cs="Times New Roman"/>
        </w:rPr>
        <w:t>49.71%</w:t>
      </w:r>
      <w:r w:rsidRPr="00DA2679">
        <w:rPr>
          <w:rFonts w:ascii="Times New Roman" w:hAnsi="Times New Roman" w:cs="Times New Roman"/>
        </w:rPr>
        <w:t>，主要系技改项目投入减少，使得购置固定资产支付的现金较上期减少所致。</w:t>
      </w:r>
    </w:p>
    <w:p w:rsidR="00174986" w:rsidRPr="00DA2679" w:rsidRDefault="00174986" w:rsidP="00280009">
      <w:pPr>
        <w:pStyle w:val="a3"/>
        <w:spacing w:before="0" w:beforeAutospacing="0" w:after="0" w:afterAutospacing="0" w:line="360" w:lineRule="auto"/>
        <w:ind w:firstLineChars="200" w:firstLine="480"/>
        <w:jc w:val="both"/>
        <w:divId w:val="963535864"/>
        <w:rPr>
          <w:rFonts w:ascii="Times New Roman" w:hAnsi="Times New Roman" w:cs="Times New Roman"/>
        </w:rPr>
      </w:pPr>
      <w:r w:rsidRPr="00DA2679">
        <w:rPr>
          <w:rFonts w:ascii="Times New Roman" w:hAnsi="Times New Roman" w:cs="Times New Roman"/>
        </w:rPr>
        <w:t>（</w:t>
      </w:r>
      <w:r w:rsidRPr="00DA2679">
        <w:rPr>
          <w:rFonts w:ascii="Times New Roman" w:hAnsi="Times New Roman" w:cs="Times New Roman"/>
        </w:rPr>
        <w:t>2</w:t>
      </w:r>
      <w:r w:rsidRPr="00DA2679">
        <w:rPr>
          <w:rFonts w:ascii="Times New Roman" w:hAnsi="Times New Roman" w:cs="Times New Roman"/>
        </w:rPr>
        <w:t>）筹资活动产生的现金流量净额本期较上年同期减少</w:t>
      </w:r>
      <w:r w:rsidRPr="00DA2679">
        <w:rPr>
          <w:rFonts w:ascii="Times New Roman" w:hAnsi="Times New Roman" w:cs="Times New Roman"/>
        </w:rPr>
        <w:t>11,142.56</w:t>
      </w:r>
      <w:r w:rsidRPr="00DA2679">
        <w:rPr>
          <w:rFonts w:ascii="Times New Roman" w:hAnsi="Times New Roman" w:cs="Times New Roman"/>
        </w:rPr>
        <w:t>万元，下降</w:t>
      </w:r>
      <w:r w:rsidRPr="00DA2679">
        <w:rPr>
          <w:rFonts w:ascii="Times New Roman" w:hAnsi="Times New Roman" w:cs="Times New Roman"/>
        </w:rPr>
        <w:t>61.72%</w:t>
      </w:r>
      <w:r w:rsidRPr="00DA2679">
        <w:rPr>
          <w:rFonts w:ascii="Times New Roman" w:hAnsi="Times New Roman" w:cs="Times New Roman"/>
        </w:rPr>
        <w:t>，主要系报告期收到银行借款同比减少，偿还借款同比增加，导致借款净增加额同比减少影响所致。</w:t>
      </w:r>
    </w:p>
    <w:p w:rsidR="004C0B5A" w:rsidRPr="00DA2679" w:rsidRDefault="00174986">
      <w:pPr>
        <w:pStyle w:val="headingh1"/>
        <w:spacing w:before="300" w:after="300" w:line="320" w:lineRule="exact"/>
        <w:rPr>
          <w:rFonts w:ascii="Times New Roman" w:eastAsia="宋体" w:hAnsi="Times New Roman" w:cs="Times New Roman"/>
          <w:b/>
          <w:bCs/>
          <w:sz w:val="24"/>
          <w:szCs w:val="24"/>
        </w:rPr>
      </w:pPr>
      <w:bookmarkStart w:id="5" w:name="_Toc988893"/>
      <w:r w:rsidRPr="00DA2679">
        <w:rPr>
          <w:rFonts w:ascii="Times New Roman" w:eastAsia="宋体" w:hAnsi="Times New Roman" w:cs="Times New Roman"/>
          <w:b/>
          <w:bCs/>
          <w:sz w:val="24"/>
          <w:szCs w:val="24"/>
        </w:rPr>
        <w:t>二、股东信息</w:t>
      </w:r>
      <w:r w:rsidRPr="00DA2679">
        <w:rPr>
          <w:rFonts w:ascii="Times New Roman" w:eastAsia="宋体" w:hAnsi="Times New Roman" w:cs="Times New Roman"/>
          <w:b/>
          <w:bCs/>
          <w:sz w:val="24"/>
          <w:szCs w:val="24"/>
        </w:rPr>
        <w:t xml:space="preserve"> </w:t>
      </w:r>
      <w:bookmarkEnd w:id="5"/>
    </w:p>
    <w:p w:rsidR="004C0B5A" w:rsidRPr="00DA2679" w:rsidRDefault="00174986">
      <w:pPr>
        <w:pStyle w:val="2"/>
        <w:spacing w:before="300" w:after="300" w:line="280" w:lineRule="exact"/>
        <w:rPr>
          <w:rFonts w:ascii="Times New Roman" w:eastAsia="宋体" w:hAnsi="Times New Roman" w:cs="Times New Roman"/>
          <w:b/>
          <w:bCs/>
          <w:sz w:val="24"/>
          <w:szCs w:val="24"/>
        </w:rPr>
      </w:pPr>
      <w:bookmarkStart w:id="6" w:name="_Toc988894"/>
      <w:r w:rsidRPr="00DA2679">
        <w:rPr>
          <w:rFonts w:ascii="Times New Roman" w:eastAsia="宋体" w:hAnsi="Times New Roman" w:cs="Times New Roman"/>
          <w:b/>
          <w:bCs/>
          <w:sz w:val="24"/>
          <w:szCs w:val="24"/>
        </w:rPr>
        <w:t>（一）</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普通股股东总数和表决权恢复的优先股股东数量及前十名股东持股情况表</w:t>
      </w:r>
      <w:bookmarkEnd w:id="6"/>
    </w:p>
    <w:p w:rsidR="004C0B5A" w:rsidRPr="00DA2679" w:rsidRDefault="00174986">
      <w:pPr>
        <w:spacing w:before="40" w:after="40"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235"/>
        <w:gridCol w:w="1168"/>
        <w:gridCol w:w="1134"/>
        <w:gridCol w:w="107"/>
        <w:gridCol w:w="1276"/>
        <w:gridCol w:w="177"/>
        <w:gridCol w:w="992"/>
        <w:gridCol w:w="816"/>
        <w:gridCol w:w="176"/>
        <w:gridCol w:w="1558"/>
      </w:tblGrid>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报告期末普通股股东总数</w:t>
            </w:r>
          </w:p>
        </w:tc>
        <w:tc>
          <w:tcPr>
            <w:tcW w:w="1241"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54,733</w:t>
            </w:r>
            <w:r w:rsidR="00932C55" w:rsidRPr="00DA2679">
              <w:rPr>
                <w:rFonts w:ascii="Times New Roman" w:eastAsia="宋体" w:hAnsi="Times New Roman" w:cs="Times New Roman" w:hint="eastAsia"/>
                <w:szCs w:val="21"/>
              </w:rPr>
              <w:t>户</w:t>
            </w:r>
          </w:p>
        </w:tc>
        <w:tc>
          <w:tcPr>
            <w:tcW w:w="3437"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报告期末表决权恢复的优先股股东总数（如有）</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w:t>
            </w:r>
          </w:p>
        </w:tc>
      </w:tr>
      <w:tr w:rsidR="004C0B5A" w:rsidRPr="00DA2679" w:rsidTr="0079219C">
        <w:trPr>
          <w:trHeight w:val="454"/>
          <w:jc w:val="center"/>
        </w:trPr>
        <w:tc>
          <w:tcPr>
            <w:tcW w:w="9639" w:type="dxa"/>
            <w:gridSpan w:val="10"/>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前</w:t>
            </w:r>
            <w:r w:rsidRPr="00DA2679">
              <w:rPr>
                <w:rFonts w:ascii="Times New Roman" w:eastAsia="宋体" w:hAnsi="Times New Roman" w:cs="Times New Roman"/>
                <w:szCs w:val="21"/>
              </w:rPr>
              <w:t>10</w:t>
            </w:r>
            <w:r w:rsidRPr="00DA2679">
              <w:rPr>
                <w:rFonts w:ascii="Times New Roman" w:eastAsia="宋体" w:hAnsi="Times New Roman" w:cs="Times New Roman"/>
                <w:szCs w:val="21"/>
              </w:rPr>
              <w:t>名股东持股情况</w:t>
            </w:r>
          </w:p>
        </w:tc>
      </w:tr>
      <w:tr w:rsidR="004C0B5A" w:rsidRPr="00DA2679" w:rsidTr="0079219C">
        <w:trPr>
          <w:trHeight w:val="454"/>
          <w:jc w:val="center"/>
        </w:trPr>
        <w:tc>
          <w:tcPr>
            <w:tcW w:w="223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股东名称</w:t>
            </w:r>
          </w:p>
        </w:tc>
        <w:tc>
          <w:tcPr>
            <w:tcW w:w="116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股东性质</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持股比例（</w:t>
            </w:r>
            <w:r w:rsidRPr="00DA2679">
              <w:rPr>
                <w:rFonts w:ascii="Times New Roman" w:eastAsia="宋体" w:hAnsi="Times New Roman" w:cs="Times New Roman"/>
                <w:szCs w:val="21"/>
              </w:rPr>
              <w:t>%</w:t>
            </w:r>
            <w:r w:rsidRPr="00DA2679">
              <w:rPr>
                <w:rFonts w:ascii="Times New Roman" w:eastAsia="宋体" w:hAnsi="Times New Roman" w:cs="Times New Roman"/>
                <w:szCs w:val="21"/>
              </w:rPr>
              <w:t>）</w:t>
            </w:r>
          </w:p>
        </w:tc>
        <w:tc>
          <w:tcPr>
            <w:tcW w:w="1560" w:type="dxa"/>
            <w:gridSpan w:val="3"/>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持股数量</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持有有限售条件的股份数量</w:t>
            </w:r>
          </w:p>
        </w:tc>
        <w:tc>
          <w:tcPr>
            <w:tcW w:w="255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质押、标记</w:t>
            </w:r>
            <w:r w:rsidRPr="00DA2679">
              <w:rPr>
                <w:rFonts w:ascii="Times New Roman" w:eastAsia="宋体" w:hAnsi="Times New Roman" w:cs="Times New Roman"/>
                <w:szCs w:val="21"/>
              </w:rPr>
              <w:t xml:space="preserve"> </w:t>
            </w:r>
            <w:r w:rsidRPr="00DA2679">
              <w:rPr>
                <w:rFonts w:ascii="Times New Roman" w:eastAsia="宋体" w:hAnsi="Times New Roman" w:cs="Times New Roman"/>
                <w:szCs w:val="21"/>
              </w:rPr>
              <w:t>或冻结情况</w:t>
            </w:r>
          </w:p>
        </w:tc>
      </w:tr>
      <w:tr w:rsidR="004C0B5A" w:rsidRPr="00DA2679" w:rsidTr="0079219C">
        <w:trPr>
          <w:trHeight w:val="454"/>
          <w:jc w:val="center"/>
        </w:trPr>
        <w:tc>
          <w:tcPr>
            <w:tcW w:w="2235"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116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1560" w:type="dxa"/>
            <w:gridSpan w:val="3"/>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79219C"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股份</w:t>
            </w:r>
          </w:p>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状态</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数量</w:t>
            </w: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崇义章源投资控股有限公司</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境内非国有法人</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60.65%</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560,474,197.00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质押</w:t>
            </w: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297,000,000.00</w:t>
            </w: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柴长茂</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1.31%</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12,080,000.00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香港中央结算有限公司</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境外法人</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0.58%</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5,361,421.00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全国社保基金五零四组合</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0.46%</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4,249,700.00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中国工商银行股份有限公司－华商新锐产业灵活配置混合型证券投资基金</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0.35%</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3,202,257.00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上海睿亿投资发展中心（有限合伙）－睿亿投资攀山二期证券私募投资基金</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0.33%</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3,044,500.00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中国建设银行股份有限公司－华商万众创新灵活配置混合型证券投资基金</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0.29%</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2,635,500.00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lastRenderedPageBreak/>
              <w:t>丁伟建</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0.26%</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2,404,402.00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赵玉兰</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境内自然人</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0.25%</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2,289,400.00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2235"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交通银行股份有限公司－华商研究精选灵活配置混合型证券投资基金</w:t>
            </w:r>
          </w:p>
        </w:tc>
        <w:tc>
          <w:tcPr>
            <w:tcW w:w="1168"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其他</w:t>
            </w:r>
          </w:p>
        </w:tc>
        <w:tc>
          <w:tcPr>
            <w:tcW w:w="1134"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0.23%</w:t>
            </w:r>
          </w:p>
        </w:tc>
        <w:tc>
          <w:tcPr>
            <w:tcW w:w="1560"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2,130,600.00</w:t>
            </w:r>
          </w:p>
        </w:tc>
        <w:tc>
          <w:tcPr>
            <w:tcW w:w="992"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c>
          <w:tcPr>
            <w:tcW w:w="992"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rPr>
                <w:rFonts w:ascii="Times New Roman" w:eastAsia="宋体" w:hAnsi="Times New Roman" w:cs="Times New Roman"/>
                <w:szCs w:val="21"/>
              </w:rPr>
            </w:pPr>
          </w:p>
        </w:tc>
        <w:tc>
          <w:tcPr>
            <w:tcW w:w="1558"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eastAsia="宋体" w:hAnsi="Times New Roman" w:cs="Times New Roman"/>
                <w:szCs w:val="21"/>
              </w:rPr>
            </w:pPr>
          </w:p>
        </w:tc>
      </w:tr>
      <w:tr w:rsidR="004C0B5A" w:rsidRPr="00DA2679" w:rsidTr="0079219C">
        <w:trPr>
          <w:trHeight w:val="454"/>
          <w:jc w:val="center"/>
        </w:trPr>
        <w:tc>
          <w:tcPr>
            <w:tcW w:w="9639" w:type="dxa"/>
            <w:gridSpan w:val="10"/>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前</w:t>
            </w:r>
            <w:r w:rsidRPr="00DA2679">
              <w:rPr>
                <w:rFonts w:ascii="Times New Roman" w:eastAsia="宋体" w:hAnsi="Times New Roman" w:cs="Times New Roman"/>
                <w:szCs w:val="21"/>
              </w:rPr>
              <w:t>10</w:t>
            </w:r>
            <w:r w:rsidRPr="00DA2679">
              <w:rPr>
                <w:rFonts w:ascii="Times New Roman" w:eastAsia="宋体" w:hAnsi="Times New Roman" w:cs="Times New Roman"/>
                <w:szCs w:val="21"/>
              </w:rPr>
              <w:t>名无限售条件股东持股情况</w:t>
            </w:r>
          </w:p>
        </w:tc>
      </w:tr>
      <w:tr w:rsidR="004C0B5A" w:rsidRPr="00DA2679" w:rsidTr="0079219C">
        <w:trPr>
          <w:trHeight w:val="454"/>
          <w:jc w:val="center"/>
        </w:trPr>
        <w:tc>
          <w:tcPr>
            <w:tcW w:w="3403"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股东名称</w:t>
            </w:r>
          </w:p>
        </w:tc>
        <w:tc>
          <w:tcPr>
            <w:tcW w:w="2517" w:type="dxa"/>
            <w:gridSpan w:val="3"/>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持有无限售条件股份数量</w:t>
            </w:r>
          </w:p>
        </w:tc>
        <w:tc>
          <w:tcPr>
            <w:tcW w:w="3719"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股份种类</w:t>
            </w:r>
          </w:p>
        </w:tc>
      </w:tr>
      <w:tr w:rsidR="004C0B5A" w:rsidRPr="00DA2679" w:rsidTr="0079219C">
        <w:trPr>
          <w:trHeight w:val="454"/>
          <w:jc w:val="center"/>
        </w:trPr>
        <w:tc>
          <w:tcPr>
            <w:tcW w:w="3403" w:type="dxa"/>
            <w:gridSpan w:val="2"/>
            <w:vMerge/>
            <w:tcBorders>
              <w:top w:val="single" w:sz="2" w:space="0" w:color="auto"/>
              <w:left w:val="single" w:sz="2" w:space="0" w:color="auto"/>
              <w:bottom w:val="single" w:sz="2" w:space="0" w:color="auto"/>
              <w:right w:val="single" w:sz="2" w:space="0" w:color="auto"/>
            </w:tcBorders>
            <w:vAlign w:val="center"/>
          </w:tcPr>
          <w:p w:rsidR="004C0B5A" w:rsidRPr="00DA2679" w:rsidRDefault="004C0B5A">
            <w:pPr>
              <w:rPr>
                <w:rFonts w:ascii="Times New Roman" w:hAnsi="Times New Roman" w:cs="Times New Roman"/>
                <w:szCs w:val="21"/>
              </w:rPr>
            </w:pPr>
          </w:p>
        </w:tc>
        <w:tc>
          <w:tcPr>
            <w:tcW w:w="2517" w:type="dxa"/>
            <w:gridSpan w:val="3"/>
            <w:vMerge/>
            <w:tcBorders>
              <w:top w:val="single" w:sz="2" w:space="0" w:color="auto"/>
              <w:left w:val="single" w:sz="2" w:space="0" w:color="auto"/>
              <w:bottom w:val="single" w:sz="2" w:space="0" w:color="auto"/>
              <w:right w:val="single" w:sz="2" w:space="0" w:color="auto"/>
            </w:tcBorders>
            <w:vAlign w:val="center"/>
          </w:tcPr>
          <w:p w:rsidR="004C0B5A" w:rsidRPr="00DA2679" w:rsidRDefault="004C0B5A">
            <w:pPr>
              <w:rPr>
                <w:rFonts w:ascii="Times New Roman" w:hAnsi="Times New Roman" w:cs="Times New Roman"/>
                <w:szCs w:val="21"/>
              </w:rPr>
            </w:pPr>
          </w:p>
        </w:tc>
        <w:tc>
          <w:tcPr>
            <w:tcW w:w="1985"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股份种类</w:t>
            </w:r>
          </w:p>
        </w:tc>
        <w:tc>
          <w:tcPr>
            <w:tcW w:w="173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eastAsia="宋体" w:hAnsi="Times New Roman" w:cs="Times New Roman"/>
                <w:szCs w:val="21"/>
              </w:rPr>
            </w:pPr>
            <w:r w:rsidRPr="00DA2679">
              <w:rPr>
                <w:rFonts w:ascii="Times New Roman" w:eastAsia="宋体" w:hAnsi="Times New Roman" w:cs="Times New Roman"/>
                <w:szCs w:val="21"/>
              </w:rPr>
              <w:t>数量</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崇义章源投资控股有限公司</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560,474,197.00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560,474,197.00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柴长茂</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12,080,000.00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12,080,000.00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香港中央结算有限公司</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5,361,421.00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5,361,421.00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全国社保基金五零四组合</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4,249,700.00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4,249,700.00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中国工商银行股份有限公司－华商新锐产业灵活配置混合型证券投资基金</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3,202,257.00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3,202,257.00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上海睿亿投资发展中心（有限合伙）－睿亿投资攀山二期证券私募投资基金</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3,044,500.00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3,044,500.00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中国建设银行股份有限公司－华商万众创新灵活配置混合型证券投资基金</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2,635,500.00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2,635,500.00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丁伟建</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2,404,402.00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2,404,402.00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赵玉兰</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2,289,400.00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2,289,400.00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交通银行股份有限公司－华商研究精选灵活配置混合型证券投资基金</w:t>
            </w:r>
          </w:p>
        </w:tc>
        <w:tc>
          <w:tcPr>
            <w:tcW w:w="2517"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2,130,600.00</w:t>
            </w:r>
          </w:p>
        </w:tc>
        <w:tc>
          <w:tcPr>
            <w:tcW w:w="1985" w:type="dxa"/>
            <w:gridSpan w:val="3"/>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人民币普通股</w:t>
            </w:r>
          </w:p>
        </w:tc>
        <w:tc>
          <w:tcPr>
            <w:tcW w:w="1734" w:type="dxa"/>
            <w:gridSpan w:val="2"/>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eastAsia="宋体" w:hAnsi="Times New Roman" w:cs="Times New Roman"/>
                <w:szCs w:val="21"/>
              </w:rPr>
            </w:pPr>
            <w:r w:rsidRPr="00DA2679">
              <w:rPr>
                <w:rFonts w:ascii="Times New Roman" w:eastAsia="宋体" w:hAnsi="Times New Roman" w:cs="Times New Roman"/>
                <w:szCs w:val="21"/>
              </w:rPr>
              <w:t>2,130,600.00</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上述股东关联关系或一致行动的说明</w:t>
            </w:r>
          </w:p>
        </w:tc>
        <w:tc>
          <w:tcPr>
            <w:tcW w:w="6236" w:type="dxa"/>
            <w:gridSpan w:val="8"/>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上述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4C0B5A" w:rsidRPr="00DA2679" w:rsidTr="0079219C">
        <w:trPr>
          <w:trHeight w:val="454"/>
          <w:jc w:val="center"/>
        </w:trPr>
        <w:tc>
          <w:tcPr>
            <w:tcW w:w="340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eastAsia="宋体" w:hAnsi="Times New Roman" w:cs="Times New Roman"/>
                <w:szCs w:val="21"/>
              </w:rPr>
            </w:pPr>
            <w:r w:rsidRPr="00DA2679">
              <w:rPr>
                <w:rFonts w:ascii="Times New Roman" w:eastAsia="宋体" w:hAnsi="Times New Roman" w:cs="Times New Roman"/>
                <w:szCs w:val="21"/>
              </w:rPr>
              <w:t>前</w:t>
            </w:r>
            <w:r w:rsidRPr="00DA2679">
              <w:rPr>
                <w:rFonts w:ascii="Times New Roman" w:eastAsia="宋体" w:hAnsi="Times New Roman" w:cs="Times New Roman"/>
                <w:szCs w:val="21"/>
              </w:rPr>
              <w:t>10</w:t>
            </w:r>
            <w:r w:rsidRPr="00DA2679">
              <w:rPr>
                <w:rFonts w:ascii="Times New Roman" w:eastAsia="宋体" w:hAnsi="Times New Roman" w:cs="Times New Roman"/>
                <w:szCs w:val="21"/>
              </w:rPr>
              <w:t>名股东参与融资融券业务情况说明（如有）</w:t>
            </w:r>
          </w:p>
        </w:tc>
        <w:tc>
          <w:tcPr>
            <w:tcW w:w="6236" w:type="dxa"/>
            <w:gridSpan w:val="8"/>
            <w:tcBorders>
              <w:top w:val="single" w:sz="2" w:space="0" w:color="auto"/>
              <w:left w:val="single" w:sz="2" w:space="0" w:color="auto"/>
              <w:bottom w:val="single" w:sz="2" w:space="0" w:color="auto"/>
              <w:right w:val="single" w:sz="2" w:space="0" w:color="auto"/>
            </w:tcBorders>
            <w:vAlign w:val="center"/>
          </w:tcPr>
          <w:p w:rsidR="004C0B5A" w:rsidRPr="00DA2679" w:rsidRDefault="00174986" w:rsidP="00280009">
            <w:pPr>
              <w:spacing w:line="240" w:lineRule="exact"/>
              <w:jc w:val="both"/>
              <w:rPr>
                <w:rFonts w:ascii="Times New Roman" w:eastAsia="宋体" w:hAnsi="Times New Roman" w:cs="Times New Roman"/>
                <w:szCs w:val="21"/>
              </w:rPr>
            </w:pPr>
            <w:r w:rsidRPr="00DA2679">
              <w:rPr>
                <w:rFonts w:ascii="Times New Roman" w:eastAsia="宋体" w:hAnsi="Times New Roman" w:cs="Times New Roman"/>
                <w:szCs w:val="21"/>
              </w:rPr>
              <w:t>前</w:t>
            </w:r>
            <w:r w:rsidRPr="00DA2679">
              <w:rPr>
                <w:rFonts w:ascii="Times New Roman" w:eastAsia="宋体" w:hAnsi="Times New Roman" w:cs="Times New Roman"/>
                <w:szCs w:val="21"/>
              </w:rPr>
              <w:t>10</w:t>
            </w:r>
            <w:r w:rsidRPr="00DA2679">
              <w:rPr>
                <w:rFonts w:ascii="Times New Roman" w:eastAsia="宋体" w:hAnsi="Times New Roman" w:cs="Times New Roman"/>
                <w:szCs w:val="21"/>
              </w:rPr>
              <w:t>名股东中，股东柴长茂通过普通证券账户持有</w:t>
            </w:r>
            <w:r w:rsidRPr="00DA2679">
              <w:rPr>
                <w:rFonts w:ascii="Times New Roman" w:eastAsia="宋体" w:hAnsi="Times New Roman" w:cs="Times New Roman"/>
                <w:szCs w:val="21"/>
              </w:rPr>
              <w:t>0</w:t>
            </w:r>
            <w:r w:rsidRPr="00DA2679">
              <w:rPr>
                <w:rFonts w:ascii="Times New Roman" w:eastAsia="宋体" w:hAnsi="Times New Roman" w:cs="Times New Roman"/>
                <w:szCs w:val="21"/>
              </w:rPr>
              <w:t>股，通过西南证券股份有限公司客户信用交易担保证券账户持有</w:t>
            </w:r>
            <w:r w:rsidRPr="00DA2679">
              <w:rPr>
                <w:rFonts w:ascii="Times New Roman" w:eastAsia="宋体" w:hAnsi="Times New Roman" w:cs="Times New Roman"/>
                <w:szCs w:val="21"/>
              </w:rPr>
              <w:t>12,080,000</w:t>
            </w:r>
            <w:r w:rsidRPr="00DA2679">
              <w:rPr>
                <w:rFonts w:ascii="Times New Roman" w:eastAsia="宋体" w:hAnsi="Times New Roman" w:cs="Times New Roman"/>
                <w:szCs w:val="21"/>
              </w:rPr>
              <w:t>股；股东上海睿亿投资发展中心（有限合伙）－睿亿投资攀山二期证券私募投资基金通过普通证券账户持有</w:t>
            </w:r>
            <w:r w:rsidRPr="00DA2679">
              <w:rPr>
                <w:rFonts w:ascii="Times New Roman" w:eastAsia="宋体" w:hAnsi="Times New Roman" w:cs="Times New Roman"/>
                <w:szCs w:val="21"/>
              </w:rPr>
              <w:t>0</w:t>
            </w:r>
            <w:r w:rsidRPr="00DA2679">
              <w:rPr>
                <w:rFonts w:ascii="Times New Roman" w:eastAsia="宋体" w:hAnsi="Times New Roman" w:cs="Times New Roman"/>
                <w:szCs w:val="21"/>
              </w:rPr>
              <w:t>股，通过华泰证券股份有限公司客户信用交易担保证券账户持有</w:t>
            </w:r>
            <w:r w:rsidRPr="00DA2679">
              <w:rPr>
                <w:rFonts w:ascii="Times New Roman" w:eastAsia="宋体" w:hAnsi="Times New Roman" w:cs="Times New Roman"/>
                <w:szCs w:val="21"/>
              </w:rPr>
              <w:t>3,044,500</w:t>
            </w:r>
            <w:r w:rsidRPr="00DA2679">
              <w:rPr>
                <w:rFonts w:ascii="Times New Roman" w:eastAsia="宋体" w:hAnsi="Times New Roman" w:cs="Times New Roman"/>
                <w:szCs w:val="21"/>
              </w:rPr>
              <w:t>股；股东丁伟建通过普通证券账户持有</w:t>
            </w:r>
            <w:r w:rsidRPr="00DA2679">
              <w:rPr>
                <w:rFonts w:ascii="Times New Roman" w:eastAsia="宋体" w:hAnsi="Times New Roman" w:cs="Times New Roman"/>
                <w:szCs w:val="21"/>
              </w:rPr>
              <w:t>69,000</w:t>
            </w:r>
            <w:r w:rsidRPr="00DA2679">
              <w:rPr>
                <w:rFonts w:ascii="Times New Roman" w:eastAsia="宋体" w:hAnsi="Times New Roman" w:cs="Times New Roman"/>
                <w:szCs w:val="21"/>
              </w:rPr>
              <w:t>股，通过华泰证券股份有限公司客户信用交易担保证券账户持有</w:t>
            </w:r>
            <w:r w:rsidRPr="00DA2679">
              <w:rPr>
                <w:rFonts w:ascii="Times New Roman" w:eastAsia="宋体" w:hAnsi="Times New Roman" w:cs="Times New Roman"/>
                <w:szCs w:val="21"/>
              </w:rPr>
              <w:t>2335402</w:t>
            </w:r>
            <w:r w:rsidRPr="00DA2679">
              <w:rPr>
                <w:rFonts w:ascii="Times New Roman" w:eastAsia="宋体" w:hAnsi="Times New Roman" w:cs="Times New Roman"/>
                <w:szCs w:val="21"/>
              </w:rPr>
              <w:t>股；股东赵玉兰通过普通证券账户持有</w:t>
            </w:r>
            <w:r w:rsidRPr="00DA2679">
              <w:rPr>
                <w:rFonts w:ascii="Times New Roman" w:eastAsia="宋体" w:hAnsi="Times New Roman" w:cs="Times New Roman"/>
                <w:szCs w:val="21"/>
              </w:rPr>
              <w:t>0</w:t>
            </w:r>
            <w:r w:rsidRPr="00DA2679">
              <w:rPr>
                <w:rFonts w:ascii="Times New Roman" w:eastAsia="宋体" w:hAnsi="Times New Roman" w:cs="Times New Roman"/>
                <w:szCs w:val="21"/>
              </w:rPr>
              <w:t>股，通过东北证券股份有限公司客户信用交易担保证券账户持有</w:t>
            </w:r>
            <w:r w:rsidRPr="00DA2679">
              <w:rPr>
                <w:rFonts w:ascii="Times New Roman" w:eastAsia="宋体" w:hAnsi="Times New Roman" w:cs="Times New Roman"/>
                <w:szCs w:val="21"/>
              </w:rPr>
              <w:t>2,289,400</w:t>
            </w:r>
            <w:r w:rsidRPr="00DA2679">
              <w:rPr>
                <w:rFonts w:ascii="Times New Roman" w:eastAsia="宋体" w:hAnsi="Times New Roman" w:cs="Times New Roman"/>
                <w:szCs w:val="21"/>
              </w:rPr>
              <w:t>股。</w:t>
            </w:r>
          </w:p>
        </w:tc>
      </w:tr>
    </w:tbl>
    <w:p w:rsidR="004C0B5A" w:rsidRPr="00DA2679" w:rsidRDefault="00174986">
      <w:pPr>
        <w:pStyle w:val="2"/>
        <w:spacing w:before="300" w:after="300" w:line="280" w:lineRule="exact"/>
        <w:rPr>
          <w:rFonts w:ascii="Times New Roman" w:eastAsia="宋体" w:hAnsi="Times New Roman" w:cs="Times New Roman"/>
          <w:b/>
          <w:bCs/>
          <w:sz w:val="24"/>
          <w:szCs w:val="24"/>
        </w:rPr>
      </w:pPr>
      <w:bookmarkStart w:id="7" w:name="_Toc988895"/>
      <w:r w:rsidRPr="00DA2679">
        <w:rPr>
          <w:rFonts w:ascii="Times New Roman" w:eastAsia="宋体" w:hAnsi="Times New Roman" w:cs="Times New Roman"/>
          <w:b/>
          <w:bCs/>
          <w:sz w:val="24"/>
          <w:szCs w:val="24"/>
        </w:rPr>
        <w:t>（二）</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公司优先股股东总数及前</w:t>
      </w:r>
      <w:r w:rsidRPr="00DA2679">
        <w:rPr>
          <w:rFonts w:ascii="Times New Roman" w:eastAsia="宋体" w:hAnsi="Times New Roman" w:cs="Times New Roman"/>
          <w:b/>
          <w:bCs/>
          <w:sz w:val="24"/>
          <w:szCs w:val="24"/>
        </w:rPr>
        <w:t>10</w:t>
      </w:r>
      <w:r w:rsidRPr="00DA2679">
        <w:rPr>
          <w:rFonts w:ascii="Times New Roman" w:eastAsia="宋体" w:hAnsi="Times New Roman" w:cs="Times New Roman"/>
          <w:b/>
          <w:bCs/>
          <w:sz w:val="24"/>
          <w:szCs w:val="24"/>
        </w:rPr>
        <w:t>名优先股股东持股情况表</w:t>
      </w:r>
      <w:bookmarkEnd w:id="7"/>
    </w:p>
    <w:p w:rsidR="004C0B5A" w:rsidRPr="00DA2679" w:rsidRDefault="00174986">
      <w:pPr>
        <w:spacing w:before="40" w:after="40" w:line="240" w:lineRule="exact"/>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不适用</w:t>
      </w:r>
    </w:p>
    <w:p w:rsidR="004C0B5A" w:rsidRPr="00DA2679" w:rsidRDefault="00174986">
      <w:pPr>
        <w:pStyle w:val="headingh1"/>
        <w:spacing w:before="300" w:after="300" w:line="320" w:lineRule="exact"/>
        <w:rPr>
          <w:rFonts w:ascii="Times New Roman" w:eastAsia="宋体" w:hAnsi="Times New Roman" w:cs="Times New Roman"/>
          <w:b/>
          <w:bCs/>
          <w:sz w:val="24"/>
          <w:szCs w:val="24"/>
        </w:rPr>
      </w:pPr>
      <w:bookmarkStart w:id="8" w:name="_Toc988896"/>
      <w:r w:rsidRPr="00DA2679">
        <w:rPr>
          <w:rFonts w:ascii="Times New Roman" w:eastAsia="宋体" w:hAnsi="Times New Roman" w:cs="Times New Roman"/>
          <w:b/>
          <w:bCs/>
          <w:sz w:val="24"/>
          <w:szCs w:val="24"/>
        </w:rPr>
        <w:lastRenderedPageBreak/>
        <w:t>三、其他重要事项</w:t>
      </w:r>
      <w:bookmarkEnd w:id="8"/>
    </w:p>
    <w:p w:rsidR="004C0B5A" w:rsidRPr="00DA2679" w:rsidRDefault="00174986" w:rsidP="00280009">
      <w:pPr>
        <w:spacing w:before="40" w:after="40" w:line="240" w:lineRule="exact"/>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适用</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不适用</w:t>
      </w:r>
    </w:p>
    <w:p w:rsidR="004C0B5A" w:rsidRPr="00DA2679" w:rsidRDefault="00174986">
      <w:pPr>
        <w:pStyle w:val="headingh1"/>
        <w:spacing w:before="300" w:after="300" w:line="320" w:lineRule="exact"/>
        <w:rPr>
          <w:rFonts w:ascii="Times New Roman" w:eastAsia="宋体" w:hAnsi="Times New Roman" w:cs="Times New Roman"/>
          <w:b/>
          <w:bCs/>
          <w:sz w:val="24"/>
          <w:szCs w:val="24"/>
        </w:rPr>
      </w:pPr>
      <w:bookmarkStart w:id="9" w:name="_Toc988897"/>
      <w:r w:rsidRPr="00DA2679">
        <w:rPr>
          <w:rFonts w:ascii="Times New Roman" w:eastAsia="宋体" w:hAnsi="Times New Roman" w:cs="Times New Roman"/>
          <w:b/>
          <w:bCs/>
          <w:sz w:val="24"/>
          <w:szCs w:val="24"/>
        </w:rPr>
        <w:t>四、季度财务报表</w:t>
      </w:r>
      <w:bookmarkEnd w:id="9"/>
    </w:p>
    <w:p w:rsidR="004C0B5A" w:rsidRPr="00DA2679" w:rsidRDefault="00174986" w:rsidP="00280009">
      <w:pPr>
        <w:pStyle w:val="headingh1"/>
        <w:spacing w:before="300" w:after="300" w:line="320" w:lineRule="exact"/>
        <w:rPr>
          <w:rFonts w:ascii="Times New Roman" w:eastAsia="宋体" w:hAnsi="Times New Roman" w:cs="Times New Roman"/>
          <w:b/>
          <w:bCs/>
          <w:sz w:val="24"/>
          <w:szCs w:val="24"/>
        </w:rPr>
      </w:pPr>
      <w:bookmarkStart w:id="10" w:name="_Toc988898"/>
      <w:r w:rsidRPr="00DA2679">
        <w:rPr>
          <w:rFonts w:ascii="Times New Roman" w:eastAsia="宋体" w:hAnsi="Times New Roman" w:cs="Times New Roman"/>
          <w:b/>
          <w:bCs/>
          <w:sz w:val="24"/>
          <w:szCs w:val="24"/>
        </w:rPr>
        <w:t>（一）</w:t>
      </w:r>
      <w:r w:rsidRPr="00DA2679">
        <w:rPr>
          <w:rFonts w:ascii="Times New Roman" w:eastAsia="宋体" w:hAnsi="Times New Roman" w:cs="Times New Roman"/>
          <w:b/>
          <w:bCs/>
          <w:sz w:val="24"/>
          <w:szCs w:val="24"/>
        </w:rPr>
        <w:t xml:space="preserve"> </w:t>
      </w:r>
      <w:r w:rsidRPr="00DA2679">
        <w:rPr>
          <w:rFonts w:ascii="Times New Roman" w:eastAsia="宋体" w:hAnsi="Times New Roman" w:cs="Times New Roman"/>
          <w:b/>
          <w:bCs/>
          <w:sz w:val="24"/>
          <w:szCs w:val="24"/>
        </w:rPr>
        <w:t>财务报表</w:t>
      </w:r>
      <w:bookmarkEnd w:id="10"/>
    </w:p>
    <w:p w:rsidR="004C0B5A" w:rsidRPr="00DA2679" w:rsidRDefault="00174986" w:rsidP="00280009">
      <w:pPr>
        <w:pStyle w:val="headingh1"/>
        <w:spacing w:before="300" w:after="300" w:line="320" w:lineRule="exact"/>
        <w:rPr>
          <w:rFonts w:ascii="Times New Roman" w:eastAsia="宋体" w:hAnsi="Times New Roman" w:cs="Times New Roman"/>
          <w:b/>
          <w:bCs/>
          <w:sz w:val="24"/>
          <w:szCs w:val="24"/>
        </w:rPr>
      </w:pPr>
      <w:bookmarkStart w:id="11" w:name="_Toc988899"/>
      <w:r w:rsidRPr="00DA2679">
        <w:rPr>
          <w:rFonts w:ascii="Times New Roman" w:eastAsia="宋体" w:hAnsi="Times New Roman" w:cs="Times New Roman"/>
          <w:b/>
          <w:bCs/>
          <w:sz w:val="24"/>
          <w:szCs w:val="24"/>
        </w:rPr>
        <w:t>1</w:t>
      </w:r>
      <w:r w:rsidRPr="00DA2679">
        <w:rPr>
          <w:rFonts w:ascii="Times New Roman" w:eastAsia="宋体" w:hAnsi="Times New Roman" w:cs="Times New Roman"/>
          <w:b/>
          <w:bCs/>
          <w:sz w:val="24"/>
          <w:szCs w:val="24"/>
        </w:rPr>
        <w:t>、合并资产负债表</w:t>
      </w:r>
      <w:bookmarkEnd w:id="11"/>
    </w:p>
    <w:p w:rsidR="004C0B5A" w:rsidRPr="00DA2679" w:rsidRDefault="00174986" w:rsidP="00280009">
      <w:pPr>
        <w:spacing w:line="360" w:lineRule="auto"/>
        <w:rPr>
          <w:rFonts w:ascii="Times New Roman" w:hAnsi="Times New Roman" w:cs="Times New Roman"/>
          <w:sz w:val="24"/>
          <w:szCs w:val="24"/>
        </w:rPr>
      </w:pPr>
      <w:r w:rsidRPr="00DA2679">
        <w:rPr>
          <w:rFonts w:ascii="Times New Roman" w:hAnsi="Times New Roman" w:cs="Times New Roman"/>
          <w:sz w:val="24"/>
          <w:szCs w:val="24"/>
        </w:rPr>
        <w:t>编制单位：崇义章源钨业股份有限公司</w:t>
      </w:r>
    </w:p>
    <w:p w:rsidR="004C0B5A" w:rsidRPr="00DA2679" w:rsidRDefault="00174986" w:rsidP="006415FC">
      <w:pPr>
        <w:spacing w:line="360" w:lineRule="auto"/>
        <w:jc w:val="center"/>
        <w:rPr>
          <w:rFonts w:ascii="Times New Roman" w:hAnsi="Times New Roman" w:cs="Times New Roman"/>
          <w:szCs w:val="21"/>
        </w:rPr>
      </w:pPr>
      <w:r w:rsidRPr="00DA2679">
        <w:rPr>
          <w:rFonts w:ascii="Times New Roman" w:hAnsi="Times New Roman" w:cs="Times New Roman"/>
          <w:szCs w:val="21"/>
        </w:rPr>
        <w:t>2023</w:t>
      </w:r>
      <w:r w:rsidRPr="00DA2679">
        <w:rPr>
          <w:rFonts w:ascii="Times New Roman" w:hAnsi="Times New Roman" w:cs="Times New Roman"/>
          <w:szCs w:val="21"/>
        </w:rPr>
        <w:t>年</w:t>
      </w:r>
      <w:r w:rsidRPr="00DA2679">
        <w:rPr>
          <w:rFonts w:ascii="Times New Roman" w:hAnsi="Times New Roman" w:cs="Times New Roman"/>
          <w:szCs w:val="21"/>
        </w:rPr>
        <w:t>03</w:t>
      </w:r>
      <w:r w:rsidRPr="00DA2679">
        <w:rPr>
          <w:rFonts w:ascii="Times New Roman" w:hAnsi="Times New Roman" w:cs="Times New Roman"/>
          <w:szCs w:val="21"/>
        </w:rPr>
        <w:t>月</w:t>
      </w:r>
      <w:r w:rsidRPr="00DA2679">
        <w:rPr>
          <w:rFonts w:ascii="Times New Roman" w:hAnsi="Times New Roman" w:cs="Times New Roman"/>
          <w:szCs w:val="21"/>
        </w:rPr>
        <w:t>31</w:t>
      </w:r>
      <w:r w:rsidRPr="00DA2679">
        <w:rPr>
          <w:rFonts w:ascii="Times New Roman" w:hAnsi="Times New Roman" w:cs="Times New Roman"/>
          <w:szCs w:val="21"/>
        </w:rPr>
        <w:t>日</w:t>
      </w:r>
    </w:p>
    <w:p w:rsidR="004C0B5A" w:rsidRPr="00DA2679" w:rsidRDefault="00174986" w:rsidP="006415FC">
      <w:pPr>
        <w:spacing w:line="360" w:lineRule="auto"/>
        <w:jc w:val="right"/>
        <w:rPr>
          <w:rFonts w:ascii="Times New Roman" w:hAnsi="Times New Roman" w:cs="Times New Roman"/>
          <w:szCs w:val="21"/>
        </w:rPr>
      </w:pPr>
      <w:r w:rsidRPr="00DA2679">
        <w:rPr>
          <w:rFonts w:ascii="Times New Roman"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213"/>
        <w:gridCol w:w="3213"/>
        <w:gridCol w:w="3213"/>
      </w:tblGrid>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年初余额</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480,850,952.78</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558,590,264.21</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3,734,937.38</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1,491,500.00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1,197,000.00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552,304,860.87</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259,398,246.19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190,132,655.69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260,820,780.47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34,944,237.84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10,038,355.59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4,776,382.89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2,749,945.67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500" w:firstLine="1050"/>
              <w:rPr>
                <w:rFonts w:ascii="Times New Roman" w:hAnsi="Times New Roman" w:cs="Times New Roman"/>
                <w:szCs w:val="21"/>
              </w:rPr>
            </w:pPr>
            <w:r w:rsidRPr="00DA2679">
              <w:rPr>
                <w:rFonts w:ascii="Times New Roman" w:hAnsi="Times New Roman" w:cs="Times New Roman"/>
                <w:szCs w:val="21"/>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存货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1,406,706,480.76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1,417,212,944.70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1,743,662.46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86,560,479.24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2,672,950,733.29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2,600,302,953.45</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lastRenderedPageBreak/>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108,428,648.42</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105,445,931.13</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3,817,920.00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3,817,920.00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10,775,124.88</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10,907,211.70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1,276,260,022.71</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1,307,726,036.31</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29,591,642.13</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24,175,856.87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3,077,972.75</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3,575,661.86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435,540,115.76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437,900,242.94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6,336,579.12</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15,865,909.29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商誉</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2,832,963.49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2,832,963.49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27,940,009.47</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30,989,780.62</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14,656,223.59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13,443,419.35</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233,283,033.14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234,937,276.18</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2,152,540,255.46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2,191,618,209.74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4,825,490,988.75</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4,791,921,163.19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575,675,898.59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557,734,428.16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776,197,000.00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752,837,000.00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96,862,017.02</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160,867,994.50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10,903,051.05</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6,591,435.38</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60,751,612.46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87,759,140.56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20,020,494.09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9,415,758.84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9,156,796.79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10,545,123.37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500" w:firstLine="1050"/>
              <w:rPr>
                <w:rFonts w:ascii="Times New Roman" w:hAnsi="Times New Roman" w:cs="Times New Roman"/>
                <w:szCs w:val="21"/>
              </w:rPr>
            </w:pPr>
            <w:r w:rsidRPr="00DA2679">
              <w:rPr>
                <w:rFonts w:ascii="Times New Roman" w:hAnsi="Times New Roman" w:cs="Times New Roman"/>
                <w:szCs w:val="21"/>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lastRenderedPageBreak/>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236,968,165.64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269,636,349.24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1,417,396.63</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627,187.01</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1,787,952,432.27</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1,856,014,417.06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778,500,000.00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706,500,000.00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500" w:firstLine="1050"/>
              <w:rPr>
                <w:rFonts w:ascii="Times New Roman" w:hAnsi="Times New Roman" w:cs="Times New Roman"/>
                <w:szCs w:val="21"/>
              </w:rPr>
            </w:pPr>
            <w:r w:rsidRPr="00DA2679">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1,773,536.74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1,469,675.94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76,170,200.00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76,170,200.00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2,858,886.26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2,960,659.18</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122,165,149.46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127,436,788.66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14,077,859.16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15,704,685.24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995,545,631.62</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930,242,009.02</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2,783,498,063.89</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2,786,256,426.08</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股本</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924,167,436.00</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500" w:firstLine="1050"/>
              <w:rPr>
                <w:rFonts w:ascii="Times New Roman" w:hAnsi="Times New Roman" w:cs="Times New Roman"/>
                <w:szCs w:val="21"/>
              </w:rPr>
            </w:pPr>
            <w:r w:rsidRPr="00DA2679">
              <w:rPr>
                <w:rFonts w:ascii="Times New Roman" w:hAnsi="Times New Roman" w:cs="Times New Roman"/>
                <w:szCs w:val="21"/>
              </w:rPr>
              <w:t>永续债</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579,729,165.44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579,498,190.94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840,195.67</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840,195.67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696,170.67</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775,809.81</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8,858,487.41</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7,846,582.26</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246,447,720.44</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246,447,720.44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279,039,398.62</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243,968,489.39</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2,038,098,182.91</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2,001,864,033.17</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3,894,741.95</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3,800,703.94</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2,041,992,924.86</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2,005,664,737.11</w:t>
            </w:r>
          </w:p>
        </w:tc>
      </w:tr>
      <w:tr w:rsidR="004C0B5A" w:rsidRPr="00DA2679" w:rsidTr="006415F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4,825,490,988.75</w:t>
            </w:r>
          </w:p>
        </w:tc>
        <w:tc>
          <w:tcPr>
            <w:tcW w:w="3213"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4,791,921,163.19</w:t>
            </w:r>
          </w:p>
        </w:tc>
      </w:tr>
    </w:tbl>
    <w:p w:rsidR="004C0B5A" w:rsidRPr="00DA2679" w:rsidRDefault="00174986" w:rsidP="00280009">
      <w:pPr>
        <w:spacing w:line="360" w:lineRule="auto"/>
        <w:rPr>
          <w:rFonts w:ascii="Times New Roman" w:hAnsi="Times New Roman" w:cs="Times New Roman"/>
          <w:szCs w:val="21"/>
        </w:rPr>
      </w:pPr>
      <w:r w:rsidRPr="00DA2679">
        <w:rPr>
          <w:rFonts w:ascii="Times New Roman" w:hAnsi="Times New Roman" w:cs="Times New Roman"/>
          <w:szCs w:val="21"/>
        </w:rPr>
        <w:t>法定代表人：黄世春</w:t>
      </w:r>
      <w:r w:rsidRPr="00DA2679">
        <w:rPr>
          <w:rFonts w:ascii="Times New Roman" w:hAnsi="Times New Roman" w:cs="Times New Roman"/>
          <w:szCs w:val="21"/>
        </w:rPr>
        <w:t xml:space="preserve">    </w:t>
      </w:r>
      <w:r w:rsidR="00280009" w:rsidRPr="00DA2679">
        <w:rPr>
          <w:rFonts w:ascii="Times New Roman" w:hAnsi="Times New Roman" w:cs="Times New Roman"/>
          <w:szCs w:val="21"/>
        </w:rPr>
        <w:t xml:space="preserve">                    </w:t>
      </w:r>
      <w:r w:rsidRPr="00DA2679">
        <w:rPr>
          <w:rFonts w:ascii="Times New Roman" w:hAnsi="Times New Roman" w:cs="Times New Roman"/>
          <w:szCs w:val="21"/>
        </w:rPr>
        <w:t>主管会计工作负责人：范迪曜</w:t>
      </w:r>
      <w:r w:rsidRPr="00DA2679">
        <w:rPr>
          <w:rFonts w:ascii="Times New Roman" w:hAnsi="Times New Roman" w:cs="Times New Roman"/>
          <w:szCs w:val="21"/>
        </w:rPr>
        <w:t xml:space="preserve">     </w:t>
      </w:r>
      <w:r w:rsidR="00280009" w:rsidRPr="00DA2679">
        <w:rPr>
          <w:rFonts w:ascii="Times New Roman" w:hAnsi="Times New Roman" w:cs="Times New Roman"/>
          <w:szCs w:val="21"/>
        </w:rPr>
        <w:t xml:space="preserve">                 </w:t>
      </w:r>
      <w:r w:rsidRPr="00DA2679">
        <w:rPr>
          <w:rFonts w:ascii="Times New Roman" w:hAnsi="Times New Roman" w:cs="Times New Roman"/>
          <w:szCs w:val="21"/>
        </w:rPr>
        <w:t xml:space="preserve"> </w:t>
      </w:r>
      <w:r w:rsidRPr="00DA2679">
        <w:rPr>
          <w:rFonts w:ascii="Times New Roman" w:hAnsi="Times New Roman" w:cs="Times New Roman"/>
          <w:szCs w:val="21"/>
        </w:rPr>
        <w:t>会计机构负责人：黄如红</w:t>
      </w:r>
    </w:p>
    <w:p w:rsidR="006415FC" w:rsidRPr="00DA2679" w:rsidRDefault="006415FC" w:rsidP="00280009">
      <w:pPr>
        <w:spacing w:line="360" w:lineRule="auto"/>
        <w:rPr>
          <w:rFonts w:ascii="Times New Roman" w:hAnsi="Times New Roman" w:cs="Times New Roman"/>
          <w:szCs w:val="21"/>
        </w:rPr>
      </w:pPr>
    </w:p>
    <w:p w:rsidR="006415FC" w:rsidRPr="00DA2679" w:rsidRDefault="006415FC" w:rsidP="00280009">
      <w:pPr>
        <w:spacing w:line="360" w:lineRule="auto"/>
        <w:rPr>
          <w:rFonts w:ascii="Times New Roman" w:hAnsi="Times New Roman" w:cs="Times New Roman"/>
          <w:szCs w:val="21"/>
        </w:rPr>
      </w:pPr>
    </w:p>
    <w:p w:rsidR="004C0B5A" w:rsidRPr="00DA2679" w:rsidRDefault="00174986">
      <w:pPr>
        <w:pStyle w:val="3"/>
        <w:spacing w:line="280" w:lineRule="exact"/>
        <w:jc w:val="left"/>
        <w:rPr>
          <w:rFonts w:ascii="Times New Roman" w:eastAsiaTheme="minorEastAsia" w:hAnsi="Times New Roman" w:cs="Times New Roman"/>
          <w:b/>
          <w:bCs/>
          <w:sz w:val="24"/>
          <w:szCs w:val="24"/>
        </w:rPr>
      </w:pPr>
      <w:bookmarkStart w:id="12" w:name="_Toc988900"/>
      <w:r w:rsidRPr="00DA2679">
        <w:rPr>
          <w:rFonts w:ascii="Times New Roman" w:eastAsiaTheme="minorEastAsia" w:hAnsi="Times New Roman" w:cs="Times New Roman"/>
          <w:b/>
          <w:bCs/>
          <w:sz w:val="24"/>
          <w:szCs w:val="24"/>
        </w:rPr>
        <w:lastRenderedPageBreak/>
        <w:t>2</w:t>
      </w:r>
      <w:r w:rsidRPr="00DA2679">
        <w:rPr>
          <w:rFonts w:ascii="Times New Roman" w:eastAsiaTheme="minorEastAsia" w:hAnsi="Times New Roman" w:cs="Times New Roman"/>
          <w:b/>
          <w:bCs/>
          <w:sz w:val="24"/>
          <w:szCs w:val="24"/>
        </w:rPr>
        <w:t>、合并利润表</w:t>
      </w:r>
      <w:bookmarkEnd w:id="12"/>
    </w:p>
    <w:p w:rsidR="004C0B5A" w:rsidRPr="00DA2679" w:rsidRDefault="00174986" w:rsidP="006415FC">
      <w:pPr>
        <w:spacing w:before="40" w:after="40" w:line="360" w:lineRule="auto"/>
        <w:jc w:val="right"/>
        <w:rPr>
          <w:rFonts w:ascii="Times New Roman" w:hAnsi="Times New Roman" w:cs="Times New Roman"/>
          <w:szCs w:val="21"/>
        </w:rPr>
      </w:pPr>
      <w:r w:rsidRPr="00DA2679">
        <w:rPr>
          <w:rFonts w:ascii="Times New Roman"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1"/>
        <w:gridCol w:w="2551"/>
        <w:gridCol w:w="2267"/>
      </w:tblGrid>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项目</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本期发生额</w:t>
            </w: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上期发生额</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一、营业总收入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822,676,918.20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872,897,895.21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其中：营业收入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822,676,918.20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872,897,895.21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400" w:firstLine="840"/>
              <w:rPr>
                <w:rFonts w:ascii="Times New Roman" w:hAnsi="Times New Roman" w:cs="Times New Roman"/>
                <w:szCs w:val="21"/>
              </w:rPr>
            </w:pPr>
            <w:r w:rsidRPr="00DA2679">
              <w:rPr>
                <w:rFonts w:ascii="Times New Roman" w:hAnsi="Times New Roman" w:cs="Times New Roman"/>
                <w:szCs w:val="21"/>
              </w:rPr>
              <w:t>利息收入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400" w:firstLine="840"/>
              <w:rPr>
                <w:rFonts w:ascii="Times New Roman" w:hAnsi="Times New Roman" w:cs="Times New Roman"/>
                <w:szCs w:val="21"/>
              </w:rPr>
            </w:pPr>
            <w:r w:rsidRPr="00DA2679">
              <w:rPr>
                <w:rFonts w:ascii="Times New Roman" w:hAnsi="Times New Roman" w:cs="Times New Roman"/>
                <w:szCs w:val="21"/>
              </w:rPr>
              <w:t>已赚保费</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400" w:firstLine="840"/>
              <w:rPr>
                <w:rFonts w:ascii="Times New Roman" w:hAnsi="Times New Roman" w:cs="Times New Roman"/>
                <w:szCs w:val="21"/>
              </w:rPr>
            </w:pPr>
            <w:r w:rsidRPr="00DA2679">
              <w:rPr>
                <w:rFonts w:ascii="Times New Roman" w:hAnsi="Times New Roman" w:cs="Times New Roman"/>
                <w:szCs w:val="21"/>
              </w:rPr>
              <w:t>手续费及佣金收入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rPr>
                <w:rFonts w:ascii="Times New Roman" w:hAnsi="Times New Roman" w:cs="Times New Roman"/>
                <w:szCs w:val="21"/>
              </w:rPr>
            </w:pPr>
            <w:r w:rsidRPr="00DA2679">
              <w:rPr>
                <w:rFonts w:ascii="Times New Roman" w:hAnsi="Times New Roman" w:cs="Times New Roman"/>
                <w:szCs w:val="21"/>
              </w:rPr>
              <w:t>二、营业总成本</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771,245,995.00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787,643,661.67</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其中：营业成本</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691,863,266.58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722,255,766.51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利息支出</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手续费及佣金支出</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退保金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赔付支出净额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提取保险责任准备金净额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保单红利支出</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分保费用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400" w:firstLine="840"/>
              <w:rPr>
                <w:rFonts w:ascii="Times New Roman" w:hAnsi="Times New Roman" w:cs="Times New Roman"/>
                <w:szCs w:val="21"/>
              </w:rPr>
            </w:pPr>
            <w:r w:rsidRPr="00DA2679">
              <w:rPr>
                <w:rFonts w:ascii="Times New Roman" w:hAnsi="Times New Roman" w:cs="Times New Roman"/>
                <w:szCs w:val="21"/>
              </w:rPr>
              <w:t>税金及附加</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3,009,307.76</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5,274,192.65</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销售费用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10,658,888.91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7,740,876.21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管理费用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32,433,249.82</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30,434,429.62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研发费用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15,337,025.21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9,710,504.80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400" w:firstLine="840"/>
              <w:rPr>
                <w:rFonts w:ascii="Times New Roman" w:hAnsi="Times New Roman" w:cs="Times New Roman"/>
                <w:szCs w:val="21"/>
              </w:rPr>
            </w:pPr>
            <w:r w:rsidRPr="00DA2679">
              <w:rPr>
                <w:rFonts w:ascii="Times New Roman" w:hAnsi="Times New Roman" w:cs="Times New Roman"/>
                <w:szCs w:val="21"/>
              </w:rPr>
              <w:t>财务费用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17,944,256.72</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12,227,891.88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500" w:firstLine="1050"/>
              <w:rPr>
                <w:rFonts w:ascii="Times New Roman" w:hAnsi="Times New Roman" w:cs="Times New Roman"/>
                <w:szCs w:val="21"/>
              </w:rPr>
            </w:pPr>
            <w:r w:rsidRPr="00DA2679">
              <w:rPr>
                <w:rFonts w:ascii="Times New Roman" w:hAnsi="Times New Roman" w:cs="Times New Roman"/>
                <w:szCs w:val="21"/>
              </w:rPr>
              <w:t>其中：利息费用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18,967,790.76</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14,580,641.52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800" w:firstLine="1680"/>
              <w:rPr>
                <w:rFonts w:ascii="Times New Roman" w:hAnsi="Times New Roman" w:cs="Times New Roman"/>
                <w:szCs w:val="21"/>
              </w:rPr>
            </w:pPr>
            <w:r w:rsidRPr="00DA2679">
              <w:rPr>
                <w:rFonts w:ascii="Times New Roman" w:hAnsi="Times New Roman" w:cs="Times New Roman"/>
                <w:szCs w:val="21"/>
              </w:rPr>
              <w:t>利息收入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339,756.35</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3,173,316.96</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加：其他收益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11,471,111.27</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10,207,836.86</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300" w:firstLine="630"/>
              <w:rPr>
                <w:rFonts w:ascii="Times New Roman" w:hAnsi="Times New Roman" w:cs="Times New Roman"/>
                <w:szCs w:val="21"/>
              </w:rPr>
            </w:pPr>
            <w:r w:rsidRPr="00DA2679">
              <w:rPr>
                <w:rFonts w:ascii="Times New Roman" w:hAnsi="Times New Roman" w:cs="Times New Roman"/>
                <w:szCs w:val="21"/>
              </w:rPr>
              <w:t>投资收益（损失以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891,107.71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1,312,165.31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500" w:firstLine="1050"/>
              <w:rPr>
                <w:rFonts w:ascii="Times New Roman" w:hAnsi="Times New Roman" w:cs="Times New Roman"/>
                <w:szCs w:val="21"/>
              </w:rPr>
            </w:pPr>
            <w:r w:rsidRPr="00DA2679">
              <w:rPr>
                <w:rFonts w:ascii="Times New Roman" w:hAnsi="Times New Roman" w:cs="Times New Roman"/>
                <w:szCs w:val="21"/>
              </w:rPr>
              <w:t>其中：对联营企业和合营企业的投资收益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2,812,957.91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2,795,258.64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800" w:firstLine="1680"/>
              <w:rPr>
                <w:rFonts w:ascii="Times New Roman" w:hAnsi="Times New Roman" w:cs="Times New Roman"/>
                <w:szCs w:val="21"/>
              </w:rPr>
            </w:pPr>
            <w:r w:rsidRPr="00DA2679">
              <w:rPr>
                <w:rFonts w:ascii="Times New Roman" w:hAnsi="Times New Roman" w:cs="Times New Roman"/>
                <w:szCs w:val="21"/>
              </w:rPr>
              <w:t>以摊余成本计量的金融资产终止确认收益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300" w:firstLine="630"/>
              <w:rPr>
                <w:rFonts w:ascii="Times New Roman" w:hAnsi="Times New Roman" w:cs="Times New Roman"/>
                <w:szCs w:val="21"/>
              </w:rPr>
            </w:pPr>
            <w:r w:rsidRPr="00DA2679">
              <w:rPr>
                <w:rFonts w:ascii="Times New Roman" w:hAnsi="Times New Roman" w:cs="Times New Roman"/>
                <w:szCs w:val="21"/>
              </w:rPr>
              <w:t>汇兑收益（损失以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300" w:firstLine="630"/>
              <w:rPr>
                <w:rFonts w:ascii="Times New Roman" w:hAnsi="Times New Roman" w:cs="Times New Roman"/>
                <w:szCs w:val="21"/>
              </w:rPr>
            </w:pPr>
            <w:r w:rsidRPr="00DA2679">
              <w:rPr>
                <w:rFonts w:ascii="Times New Roman" w:hAnsi="Times New Roman" w:cs="Times New Roman"/>
                <w:szCs w:val="21"/>
              </w:rPr>
              <w:t>净敞口套期收益（损失以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300" w:firstLine="630"/>
              <w:rPr>
                <w:rFonts w:ascii="Times New Roman" w:hAnsi="Times New Roman" w:cs="Times New Roman"/>
                <w:szCs w:val="21"/>
              </w:rPr>
            </w:pPr>
            <w:r w:rsidRPr="00DA2679">
              <w:rPr>
                <w:rFonts w:ascii="Times New Roman" w:hAnsi="Times New Roman" w:cs="Times New Roman"/>
                <w:szCs w:val="21"/>
              </w:rPr>
              <w:t>公允价值变动收益（损失以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-3,734,937.38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信用减值损失（损失以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-14,871,193.69</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-16,278,737.90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资产减值损失（损失以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-4,013,036.90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-2,794,995.94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资产处置收益（损失以</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28,217.23</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106,106.57</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三、营业利润（亏损以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41,202,191.44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77,806,608.44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加：营业外收入</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1,082,158.02</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164,938.55</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减：营业外支出</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1,979,759.58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640,546.74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四、利润总额（亏损总额以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40,304,589.88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77,331,000.25</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lastRenderedPageBreak/>
              <w:t>减：所得税费用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5,139,642.64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11,659,307.87</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五、净利润（净亏损以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35,164,947.24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65,671,692.38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（一）按经营持续性分类</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1.</w:t>
            </w:r>
            <w:r w:rsidRPr="00DA2679">
              <w:rPr>
                <w:rFonts w:ascii="Times New Roman" w:hAnsi="Times New Roman" w:cs="Times New Roman"/>
                <w:szCs w:val="21"/>
              </w:rPr>
              <w:t>持续经营净利润（净亏损以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35,164,947.24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65,671,692.38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2.</w:t>
            </w:r>
            <w:r w:rsidRPr="00DA2679">
              <w:rPr>
                <w:rFonts w:ascii="Times New Roman" w:hAnsi="Times New Roman" w:cs="Times New Roman"/>
                <w:szCs w:val="21"/>
              </w:rPr>
              <w:t>终止经营净利润（净亏损以</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w:t>
            </w:r>
            <w:r w:rsidRPr="00DA2679">
              <w:rPr>
                <w:rFonts w:ascii="Times New Roman" w:hAnsi="Times New Roman" w:cs="Times New Roman"/>
                <w:szCs w:val="21"/>
              </w:rPr>
              <w:t>号填列）</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（二）按所有权归属分类</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1.</w:t>
            </w:r>
            <w:r w:rsidRPr="00DA2679">
              <w:rPr>
                <w:rFonts w:ascii="Times New Roman" w:hAnsi="Times New Roman" w:cs="Times New Roman"/>
                <w:szCs w:val="21"/>
              </w:rPr>
              <w:t>归属于母公司所有者的净利润</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35,070,909.23</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65,695,230.60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2.</w:t>
            </w:r>
            <w:r w:rsidRPr="00DA2679">
              <w:rPr>
                <w:rFonts w:ascii="Times New Roman" w:hAnsi="Times New Roman" w:cs="Times New Roman"/>
                <w:szCs w:val="21"/>
              </w:rPr>
              <w:t>少数股东损益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94,038.01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-23,538.22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六、其他综合收益的税后净额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97,365.18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归属母公司所有者的其他综合收益的税后净额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97,365.18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（一）不能重分类进损益的其他综合收益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1.</w:t>
            </w:r>
            <w:r w:rsidRPr="00DA2679">
              <w:rPr>
                <w:rFonts w:ascii="Times New Roman" w:hAnsi="Times New Roman" w:cs="Times New Roman"/>
                <w:szCs w:val="21"/>
              </w:rPr>
              <w:t>重新计量设定受益计划变动额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2.</w:t>
            </w:r>
            <w:r w:rsidRPr="00DA2679">
              <w:rPr>
                <w:rFonts w:ascii="Times New Roman" w:hAnsi="Times New Roman" w:cs="Times New Roman"/>
                <w:szCs w:val="21"/>
              </w:rPr>
              <w:t>权益法下不能转损益的其他综合收益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3.</w:t>
            </w:r>
            <w:r w:rsidRPr="00DA2679">
              <w:rPr>
                <w:rFonts w:ascii="Times New Roman" w:hAnsi="Times New Roman" w:cs="Times New Roman"/>
                <w:szCs w:val="21"/>
              </w:rPr>
              <w:t>其他权益工具投资公允价值变动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4.</w:t>
            </w:r>
            <w:r w:rsidRPr="00DA2679">
              <w:rPr>
                <w:rFonts w:ascii="Times New Roman" w:hAnsi="Times New Roman" w:cs="Times New Roman"/>
                <w:szCs w:val="21"/>
              </w:rPr>
              <w:t>企业自身信用风险公允价值变动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5.</w:t>
            </w:r>
            <w:r w:rsidRPr="00DA2679">
              <w:rPr>
                <w:rFonts w:ascii="Times New Roman" w:hAnsi="Times New Roman" w:cs="Times New Roman"/>
                <w:szCs w:val="21"/>
              </w:rPr>
              <w:t>其他</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（二）将重分类进损益的其他综合收益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97,365.18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1.</w:t>
            </w:r>
            <w:r w:rsidRPr="00DA2679">
              <w:rPr>
                <w:rFonts w:ascii="Times New Roman" w:hAnsi="Times New Roman" w:cs="Times New Roman"/>
                <w:szCs w:val="21"/>
              </w:rPr>
              <w:t>权益法下可转损益的其他综合收益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2.</w:t>
            </w:r>
            <w:r w:rsidRPr="00DA2679">
              <w:rPr>
                <w:rFonts w:ascii="Times New Roman" w:hAnsi="Times New Roman" w:cs="Times New Roman"/>
                <w:szCs w:val="21"/>
              </w:rPr>
              <w:t>其他债权投资公允价值变动</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3.</w:t>
            </w:r>
            <w:r w:rsidRPr="00DA2679">
              <w:rPr>
                <w:rFonts w:ascii="Times New Roman" w:hAnsi="Times New Roman" w:cs="Times New Roman"/>
                <w:szCs w:val="21"/>
              </w:rPr>
              <w:t>金融资产重分类计入其他综合收益的金额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4.</w:t>
            </w:r>
            <w:r w:rsidRPr="00DA2679">
              <w:rPr>
                <w:rFonts w:ascii="Times New Roman" w:hAnsi="Times New Roman" w:cs="Times New Roman"/>
                <w:szCs w:val="21"/>
              </w:rPr>
              <w:t>其他债权投资信用减值准备</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5.</w:t>
            </w:r>
            <w:r w:rsidRPr="00DA2679">
              <w:rPr>
                <w:rFonts w:ascii="Times New Roman" w:hAnsi="Times New Roman" w:cs="Times New Roman"/>
                <w:szCs w:val="21"/>
              </w:rPr>
              <w:t>现金流量套期储备</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6.</w:t>
            </w:r>
            <w:r w:rsidRPr="00DA2679">
              <w:rPr>
                <w:rFonts w:ascii="Times New Roman" w:hAnsi="Times New Roman" w:cs="Times New Roman"/>
                <w:szCs w:val="21"/>
              </w:rPr>
              <w:t>外币财务报表折算差额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97,365.18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300" w:firstLine="630"/>
              <w:rPr>
                <w:rFonts w:ascii="Times New Roman" w:hAnsi="Times New Roman" w:cs="Times New Roman"/>
                <w:szCs w:val="21"/>
              </w:rPr>
            </w:pPr>
            <w:r w:rsidRPr="00DA2679">
              <w:rPr>
                <w:rFonts w:ascii="Times New Roman" w:hAnsi="Times New Roman" w:cs="Times New Roman"/>
                <w:szCs w:val="21"/>
              </w:rPr>
              <w:t>7.</w:t>
            </w:r>
            <w:r w:rsidRPr="00DA2679">
              <w:rPr>
                <w:rFonts w:ascii="Times New Roman" w:hAnsi="Times New Roman" w:cs="Times New Roman"/>
                <w:szCs w:val="21"/>
              </w:rPr>
              <w:t>其他</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归属于少数股东的其他综合收益的税后净额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七、综合收益总额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35,262,312.42</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65,671,692.38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归属于母公司所有者的综合收益总额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35,168,274.41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65,695,230.60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归属于少数股东的综合收益总额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94,038.01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-23,538.22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八、每股收益：</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（一）基本每股收益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0.0379</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（二）稀释每股收益</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0.0379</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0.0711</w:t>
            </w:r>
          </w:p>
        </w:tc>
      </w:tr>
    </w:tbl>
    <w:p w:rsidR="004C0B5A" w:rsidRPr="00DA2679" w:rsidRDefault="00174986" w:rsidP="00280009">
      <w:pPr>
        <w:spacing w:line="360" w:lineRule="auto"/>
        <w:rPr>
          <w:rFonts w:ascii="Times New Roman" w:hAnsi="Times New Roman" w:cs="Times New Roman"/>
          <w:szCs w:val="21"/>
        </w:rPr>
      </w:pPr>
      <w:r w:rsidRPr="00DA2679">
        <w:rPr>
          <w:rFonts w:ascii="Times New Roman" w:hAnsi="Times New Roman" w:cs="Times New Roman"/>
          <w:szCs w:val="21"/>
        </w:rPr>
        <w:t>法定代表人：黄世春</w:t>
      </w:r>
      <w:r w:rsidRPr="00DA2679">
        <w:rPr>
          <w:rFonts w:ascii="Times New Roman" w:hAnsi="Times New Roman" w:cs="Times New Roman"/>
          <w:szCs w:val="21"/>
        </w:rPr>
        <w:t xml:space="preserve">   </w:t>
      </w:r>
      <w:r w:rsidR="00280009" w:rsidRPr="00DA2679">
        <w:rPr>
          <w:rFonts w:ascii="Times New Roman" w:hAnsi="Times New Roman" w:cs="Times New Roman"/>
          <w:szCs w:val="21"/>
        </w:rPr>
        <w:t xml:space="preserve">                    </w:t>
      </w:r>
      <w:r w:rsidRPr="00DA2679">
        <w:rPr>
          <w:rFonts w:ascii="Times New Roman" w:hAnsi="Times New Roman" w:cs="Times New Roman"/>
          <w:szCs w:val="21"/>
        </w:rPr>
        <w:t xml:space="preserve"> </w:t>
      </w:r>
      <w:r w:rsidRPr="00DA2679">
        <w:rPr>
          <w:rFonts w:ascii="Times New Roman" w:hAnsi="Times New Roman" w:cs="Times New Roman"/>
          <w:szCs w:val="21"/>
        </w:rPr>
        <w:t>主管会计工作负责人：范迪曜</w:t>
      </w:r>
      <w:r w:rsidRPr="00DA2679">
        <w:rPr>
          <w:rFonts w:ascii="Times New Roman" w:hAnsi="Times New Roman" w:cs="Times New Roman"/>
          <w:szCs w:val="21"/>
        </w:rPr>
        <w:t xml:space="preserve">    </w:t>
      </w:r>
      <w:r w:rsidR="00280009" w:rsidRPr="00DA2679">
        <w:rPr>
          <w:rFonts w:ascii="Times New Roman" w:hAnsi="Times New Roman" w:cs="Times New Roman"/>
          <w:szCs w:val="21"/>
        </w:rPr>
        <w:t xml:space="preserve">                    </w:t>
      </w:r>
      <w:r w:rsidRPr="00DA2679">
        <w:rPr>
          <w:rFonts w:ascii="Times New Roman" w:hAnsi="Times New Roman" w:cs="Times New Roman"/>
          <w:szCs w:val="21"/>
        </w:rPr>
        <w:t>会计机构负责人：黄如红</w:t>
      </w:r>
    </w:p>
    <w:p w:rsidR="004C0B5A" w:rsidRPr="00DA2679" w:rsidRDefault="00174986">
      <w:pPr>
        <w:pStyle w:val="3"/>
        <w:spacing w:line="280" w:lineRule="exact"/>
        <w:jc w:val="left"/>
        <w:rPr>
          <w:rFonts w:ascii="Times New Roman" w:eastAsiaTheme="minorEastAsia" w:hAnsi="Times New Roman" w:cs="Times New Roman"/>
          <w:b/>
          <w:bCs/>
          <w:sz w:val="24"/>
          <w:szCs w:val="24"/>
        </w:rPr>
      </w:pPr>
      <w:bookmarkStart w:id="13" w:name="_Toc988901"/>
      <w:r w:rsidRPr="00DA2679">
        <w:rPr>
          <w:rFonts w:ascii="Times New Roman" w:eastAsiaTheme="minorEastAsia" w:hAnsi="Times New Roman" w:cs="Times New Roman"/>
          <w:b/>
          <w:bCs/>
          <w:sz w:val="24"/>
          <w:szCs w:val="24"/>
        </w:rPr>
        <w:t>3</w:t>
      </w:r>
      <w:r w:rsidRPr="00DA2679">
        <w:rPr>
          <w:rFonts w:ascii="Times New Roman" w:eastAsiaTheme="minorEastAsia" w:hAnsi="Times New Roman" w:cs="Times New Roman"/>
          <w:b/>
          <w:bCs/>
          <w:sz w:val="24"/>
          <w:szCs w:val="24"/>
        </w:rPr>
        <w:t>、合并现金流量表</w:t>
      </w:r>
      <w:bookmarkEnd w:id="13"/>
    </w:p>
    <w:p w:rsidR="004C0B5A" w:rsidRPr="00DA2679" w:rsidRDefault="00174986" w:rsidP="006415FC">
      <w:pPr>
        <w:spacing w:line="360" w:lineRule="auto"/>
        <w:jc w:val="right"/>
        <w:rPr>
          <w:rFonts w:ascii="Times New Roman" w:hAnsi="Times New Roman" w:cs="Times New Roman"/>
          <w:szCs w:val="21"/>
        </w:rPr>
      </w:pPr>
      <w:r w:rsidRPr="00DA2679">
        <w:rPr>
          <w:rFonts w:ascii="Times New Roman"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1"/>
        <w:gridCol w:w="2551"/>
        <w:gridCol w:w="2267"/>
      </w:tblGrid>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项目</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本期发生额</w:t>
            </w: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jc w:val="center"/>
              <w:rPr>
                <w:rFonts w:ascii="Times New Roman" w:hAnsi="Times New Roman" w:cs="Times New Roman"/>
                <w:szCs w:val="21"/>
              </w:rPr>
            </w:pPr>
            <w:r w:rsidRPr="00DA2679">
              <w:rPr>
                <w:rFonts w:ascii="Times New Roman" w:hAnsi="Times New Roman" w:cs="Times New Roman"/>
                <w:szCs w:val="21"/>
              </w:rPr>
              <w:t>上期发生额</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一、经营活动产生的现金流量：</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销售商品、提供劳务收到的现金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584,134,303.17</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598,917,407.42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客户存款和同业存放款项净增加额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lastRenderedPageBreak/>
              <w:t>向中央银行借款净增加额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向其他金融机构拆入资金净增加额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收到原保险合同保费取得的现金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收到再保业务现金净额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保户储金及投资款净增加额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收取利息、手续费及佣金的现金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拆入资金净增加额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回购业务资金净增加额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代理买卖证券收到的现金净额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收到的税费返还</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1,235,732.99</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1,811,222.50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收到其他与经营活动有关的现金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7,757,857.74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13,964,243.27</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经营活动现金流入小计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593,127,893.90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614,692,873.19</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购买商品、接受劳务支付的现金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580,627,373.10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632,654,247.37</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客户贷款及垫款净增加额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存放中央银行和同业款项净增加额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支付原保险合同赔付款项的现金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拆出资金净增加额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支付利息、手续费及佣金的现金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支付保单红利的现金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支付给职工以及为职工支付的现金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122,211,067.10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113,179,058.74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支付的各项税费</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14,824,738.83</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35,146,218.82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支付其他与经营活动有关的现金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21,692,490.18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15,695,341.60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经营活动现金流出小计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739,355,669.21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796,674,866.53</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经营活动产生的现金流量净额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-146,227,775.31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-181,981,993.34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二、投资活动产生的现金流量：</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收回投资收到的现金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取得投资收益收到的现金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处置固定资产、无形资产和其他长期资产收回的现金净额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1,565,879.50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1,235,353.18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处置子公司及其他营业单位收到的现金净额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收到其他与投资活动有关的现金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投资活动现金流入小计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1,565,879.50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1,235,353.18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购建固定资产、无形资产和其他长期资产所支付的现金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20,020,533.71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37,932,909.44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投资支付的现金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质押贷款净增加额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取得子公司及其他营业单位支付的现金净额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支付其他与投资活动有关的现金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投资活动现金流出小计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20,020,533.71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37,932,909.44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投资活动产生的现金流量净额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-18,454,654.21</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-36,697,556.26</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三、筹资活动产生的现金流量：</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4C0B5A">
            <w:pPr>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lastRenderedPageBreak/>
              <w:t>吸收投资收到的现金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其中：子公司吸收少数股东投资收到的现金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取得借款收到的现金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364,010,000.00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455,542,500.00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收到其他与筹资活动有关的现金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250,000.00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筹资活动现金流入小计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364,260,000.00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455,542,500.00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before="40" w:after="40" w:line="240" w:lineRule="exact"/>
              <w:ind w:firstLineChars="100" w:firstLine="210"/>
              <w:rPr>
                <w:rFonts w:ascii="Times New Roman" w:hAnsi="Times New Roman" w:cs="Times New Roman"/>
                <w:szCs w:val="21"/>
              </w:rPr>
            </w:pPr>
            <w:r w:rsidRPr="00DA2679">
              <w:rPr>
                <w:rFonts w:ascii="Times New Roman" w:hAnsi="Times New Roman" w:cs="Times New Roman"/>
                <w:szCs w:val="21"/>
              </w:rPr>
              <w:t>偿还债务支付的现金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274,408,500.00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251,250,000.00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分配股利、利润或偿付利息支付的现金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20,254,462.66</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15,241,614.68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200" w:firstLine="420"/>
              <w:rPr>
                <w:rFonts w:ascii="Times New Roman" w:hAnsi="Times New Roman" w:cs="Times New Roman"/>
                <w:szCs w:val="21"/>
              </w:rPr>
            </w:pPr>
            <w:r w:rsidRPr="00DA2679">
              <w:rPr>
                <w:rFonts w:ascii="Times New Roman" w:hAnsi="Times New Roman" w:cs="Times New Roman"/>
                <w:szCs w:val="21"/>
              </w:rPr>
              <w:t>其中：子公司支付给少数股东的股利、利润</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4C0B5A">
            <w:pPr>
              <w:spacing w:line="240" w:lineRule="exact"/>
              <w:jc w:val="right"/>
              <w:rPr>
                <w:rFonts w:ascii="Times New Roman" w:hAnsi="Times New Roman" w:cs="Times New Roman"/>
                <w:szCs w:val="21"/>
              </w:rPr>
            </w:pP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支付其他与筹资活动有关的现金</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494,102.10</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8,522,381.50</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筹资活动现金流出小计</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295,157,064.76</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275,013,996.18</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筹资活动产生的现金流量净额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69,102,935.24</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180,528,503.82</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四、汇率变动对现金及现金等价物的影响</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-212,488.08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-230,042.55</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五、现金及现金等价物净增加额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-95,791,982.36</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-38,381,088.33</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ind w:firstLineChars="100" w:firstLine="210"/>
              <w:rPr>
                <w:rFonts w:ascii="Times New Roman" w:hAnsi="Times New Roman" w:cs="Times New Roman"/>
                <w:szCs w:val="21"/>
              </w:rPr>
            </w:pPr>
            <w:r w:rsidRPr="00DA2679">
              <w:rPr>
                <w:rFonts w:ascii="Times New Roman" w:hAnsi="Times New Roman" w:cs="Times New Roman"/>
                <w:szCs w:val="21"/>
              </w:rPr>
              <w:t>加：期初现金及现金等价物余额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315,932,881.28</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428,306,344.24</w:t>
            </w:r>
          </w:p>
        </w:tc>
      </w:tr>
      <w:tr w:rsidR="004C0B5A" w:rsidRPr="00DA2679" w:rsidTr="006415FC">
        <w:trPr>
          <w:trHeight w:val="340"/>
          <w:jc w:val="center"/>
        </w:trPr>
        <w:tc>
          <w:tcPr>
            <w:tcW w:w="4821" w:type="dxa"/>
            <w:tcBorders>
              <w:top w:val="single" w:sz="2" w:space="0" w:color="auto"/>
              <w:left w:val="single" w:sz="2" w:space="0" w:color="auto"/>
              <w:bottom w:val="single" w:sz="2" w:space="0" w:color="auto"/>
              <w:right w:val="single" w:sz="2" w:space="0" w:color="auto"/>
            </w:tcBorders>
            <w:shd w:val="clear" w:color="auto" w:fill="D3D3D3"/>
            <w:vAlign w:val="center"/>
          </w:tcPr>
          <w:p w:rsidR="004C0B5A" w:rsidRPr="00DA2679" w:rsidRDefault="00174986">
            <w:pPr>
              <w:spacing w:line="240" w:lineRule="exact"/>
              <w:rPr>
                <w:rFonts w:ascii="Times New Roman" w:hAnsi="Times New Roman" w:cs="Times New Roman"/>
                <w:szCs w:val="21"/>
              </w:rPr>
            </w:pPr>
            <w:r w:rsidRPr="00DA2679">
              <w:rPr>
                <w:rFonts w:ascii="Times New Roman" w:hAnsi="Times New Roman" w:cs="Times New Roman"/>
                <w:szCs w:val="21"/>
              </w:rPr>
              <w:t>六、期末现金及现金等价物余额</w:t>
            </w:r>
          </w:p>
        </w:tc>
        <w:tc>
          <w:tcPr>
            <w:tcW w:w="2551"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220,140,898.92</w:t>
            </w:r>
          </w:p>
        </w:tc>
        <w:tc>
          <w:tcPr>
            <w:tcW w:w="2267" w:type="dxa"/>
            <w:tcBorders>
              <w:top w:val="single" w:sz="2" w:space="0" w:color="auto"/>
              <w:left w:val="single" w:sz="2" w:space="0" w:color="auto"/>
              <w:bottom w:val="single" w:sz="2" w:space="0" w:color="auto"/>
              <w:right w:val="single" w:sz="2" w:space="0" w:color="auto"/>
            </w:tcBorders>
            <w:vAlign w:val="center"/>
          </w:tcPr>
          <w:p w:rsidR="004C0B5A" w:rsidRPr="00DA2679" w:rsidRDefault="00174986">
            <w:pPr>
              <w:spacing w:line="240" w:lineRule="exact"/>
              <w:jc w:val="right"/>
              <w:rPr>
                <w:rFonts w:ascii="Times New Roman" w:hAnsi="Times New Roman" w:cs="Times New Roman"/>
                <w:szCs w:val="21"/>
              </w:rPr>
            </w:pPr>
            <w:r w:rsidRPr="00DA2679">
              <w:rPr>
                <w:rFonts w:ascii="Times New Roman" w:hAnsi="Times New Roman" w:cs="Times New Roman"/>
                <w:szCs w:val="21"/>
              </w:rPr>
              <w:t>389,925,255.91</w:t>
            </w:r>
          </w:p>
        </w:tc>
      </w:tr>
    </w:tbl>
    <w:p w:rsidR="004C0B5A" w:rsidRPr="00DA2679" w:rsidRDefault="00174986" w:rsidP="008C7173">
      <w:pPr>
        <w:pStyle w:val="2"/>
        <w:spacing w:before="300" w:after="300" w:line="360" w:lineRule="auto"/>
        <w:rPr>
          <w:rFonts w:ascii="Times New Roman" w:hAnsi="Times New Roman" w:cs="Times New Roman"/>
          <w:b/>
          <w:bCs/>
          <w:sz w:val="24"/>
          <w:szCs w:val="24"/>
        </w:rPr>
      </w:pPr>
      <w:bookmarkStart w:id="14" w:name="_Toc988902"/>
      <w:r w:rsidRPr="00DA2679">
        <w:rPr>
          <w:rFonts w:ascii="Times New Roman" w:hAnsi="Times New Roman" w:cs="Times New Roman"/>
          <w:b/>
          <w:bCs/>
          <w:sz w:val="24"/>
          <w:szCs w:val="24"/>
        </w:rPr>
        <w:t>（二）</w:t>
      </w:r>
      <w:r w:rsidRPr="00DA2679">
        <w:rPr>
          <w:rFonts w:ascii="Times New Roman" w:hAnsi="Times New Roman" w:cs="Times New Roman"/>
          <w:b/>
          <w:bCs/>
          <w:sz w:val="24"/>
          <w:szCs w:val="24"/>
        </w:rPr>
        <w:t xml:space="preserve"> </w:t>
      </w:r>
      <w:r w:rsidRPr="00DA2679">
        <w:rPr>
          <w:rFonts w:ascii="Times New Roman" w:hAnsi="Times New Roman" w:cs="Times New Roman"/>
          <w:b/>
          <w:bCs/>
          <w:sz w:val="24"/>
          <w:szCs w:val="24"/>
        </w:rPr>
        <w:t>审计报告</w:t>
      </w:r>
      <w:bookmarkEnd w:id="14"/>
    </w:p>
    <w:p w:rsidR="004C0B5A" w:rsidRPr="00DA2679" w:rsidRDefault="00174986" w:rsidP="008C7173">
      <w:pPr>
        <w:spacing w:before="40" w:after="40" w:line="360" w:lineRule="auto"/>
        <w:rPr>
          <w:rFonts w:ascii="Times New Roman" w:hAnsi="Times New Roman" w:cs="Times New Roman"/>
          <w:sz w:val="24"/>
          <w:szCs w:val="24"/>
        </w:rPr>
      </w:pPr>
      <w:r w:rsidRPr="00DA2679">
        <w:rPr>
          <w:rFonts w:ascii="Times New Roman" w:hAnsi="Times New Roman" w:cs="Times New Roman"/>
          <w:sz w:val="24"/>
          <w:szCs w:val="24"/>
        </w:rPr>
        <w:t>第一季度报告是否经过审计</w:t>
      </w:r>
    </w:p>
    <w:p w:rsidR="004C0B5A" w:rsidRPr="00DA2679" w:rsidRDefault="00174986" w:rsidP="008C7173">
      <w:pPr>
        <w:spacing w:before="40" w:after="40" w:line="360" w:lineRule="auto"/>
        <w:rPr>
          <w:rFonts w:ascii="Times New Roman" w:hAnsi="Times New Roman" w:cs="Times New Roman"/>
          <w:sz w:val="24"/>
          <w:szCs w:val="24"/>
        </w:rPr>
      </w:pPr>
      <w:r w:rsidRPr="00DA2679">
        <w:rPr>
          <w:rFonts w:ascii="Times New Roman" w:hAnsi="Times New Roman" w:cs="Times New Roman"/>
          <w:sz w:val="24"/>
          <w:szCs w:val="24"/>
        </w:rPr>
        <w:t>□</w:t>
      </w:r>
      <w:r w:rsidRPr="00DA2679">
        <w:rPr>
          <w:rFonts w:ascii="Times New Roman" w:hAnsi="Times New Roman" w:cs="Times New Roman"/>
          <w:sz w:val="24"/>
          <w:szCs w:val="24"/>
        </w:rPr>
        <w:t>是</w:t>
      </w:r>
      <w:r w:rsidRPr="00DA2679">
        <w:rPr>
          <w:rFonts w:ascii="Times New Roman" w:hAnsi="Times New Roman" w:cs="Times New Roman"/>
          <w:sz w:val="24"/>
          <w:szCs w:val="24"/>
        </w:rPr>
        <w:t xml:space="preserve"> </w:t>
      </w:r>
      <w:r w:rsidRPr="00DA2679">
        <w:rPr>
          <w:rFonts w:ascii="Times New Roman" w:hAnsi="Times New Roman" w:cs="Times New Roman"/>
          <w:sz w:val="24"/>
          <w:szCs w:val="24"/>
        </w:rPr>
        <w:sym w:font="Wingdings 2" w:char="F052"/>
      </w:r>
      <w:r w:rsidRPr="00DA2679">
        <w:rPr>
          <w:rFonts w:ascii="Times New Roman" w:hAnsi="Times New Roman" w:cs="Times New Roman"/>
          <w:sz w:val="24"/>
          <w:szCs w:val="24"/>
        </w:rPr>
        <w:t>否</w:t>
      </w:r>
    </w:p>
    <w:p w:rsidR="004C0B5A" w:rsidRPr="00DA2679" w:rsidRDefault="00174986" w:rsidP="008C7173">
      <w:pPr>
        <w:spacing w:before="40" w:after="40" w:line="360" w:lineRule="auto"/>
        <w:rPr>
          <w:rFonts w:ascii="Times New Roman" w:hAnsi="Times New Roman" w:cs="Times New Roman"/>
          <w:sz w:val="24"/>
          <w:szCs w:val="24"/>
        </w:rPr>
      </w:pPr>
      <w:r w:rsidRPr="00DA2679">
        <w:rPr>
          <w:rFonts w:ascii="Times New Roman" w:hAnsi="Times New Roman" w:cs="Times New Roman"/>
          <w:sz w:val="24"/>
          <w:szCs w:val="24"/>
        </w:rPr>
        <w:t>公司第一季度报告未经审计。</w:t>
      </w:r>
    </w:p>
    <w:p w:rsidR="008C7173" w:rsidRPr="00DA2679" w:rsidRDefault="008C7173" w:rsidP="008C7173">
      <w:pPr>
        <w:spacing w:before="40" w:after="40" w:line="360" w:lineRule="auto"/>
        <w:rPr>
          <w:rFonts w:ascii="Times New Roman" w:hAnsi="Times New Roman" w:cs="Times New Roman"/>
          <w:sz w:val="24"/>
          <w:szCs w:val="24"/>
        </w:rPr>
      </w:pPr>
    </w:p>
    <w:p w:rsidR="006415FC" w:rsidRPr="00DA2679" w:rsidRDefault="006415FC" w:rsidP="008C7173">
      <w:pPr>
        <w:spacing w:before="40" w:after="40" w:line="360" w:lineRule="auto"/>
        <w:rPr>
          <w:rFonts w:ascii="Times New Roman" w:hAnsi="Times New Roman" w:cs="Times New Roman"/>
          <w:sz w:val="24"/>
          <w:szCs w:val="24"/>
        </w:rPr>
      </w:pPr>
    </w:p>
    <w:p w:rsidR="008C7173" w:rsidRPr="00DA2679" w:rsidRDefault="008C7173" w:rsidP="008C7173">
      <w:pPr>
        <w:spacing w:before="40" w:after="40" w:line="360" w:lineRule="auto"/>
        <w:rPr>
          <w:rFonts w:ascii="Times New Roman" w:hAnsi="Times New Roman" w:cs="Times New Roman"/>
          <w:sz w:val="24"/>
          <w:szCs w:val="24"/>
        </w:rPr>
      </w:pPr>
    </w:p>
    <w:p w:rsidR="004C0B5A" w:rsidRPr="00DA2679" w:rsidRDefault="00174986" w:rsidP="008C7173">
      <w:pPr>
        <w:spacing w:before="40" w:after="40" w:line="360" w:lineRule="auto"/>
        <w:jc w:val="right"/>
        <w:rPr>
          <w:rFonts w:ascii="Times New Roman" w:hAnsi="Times New Roman" w:cs="Times New Roman"/>
          <w:sz w:val="24"/>
          <w:szCs w:val="24"/>
        </w:rPr>
      </w:pPr>
      <w:r w:rsidRPr="00DA2679">
        <w:rPr>
          <w:rFonts w:ascii="Times New Roman" w:hAnsi="Times New Roman" w:cs="Times New Roman"/>
          <w:sz w:val="24"/>
          <w:szCs w:val="24"/>
        </w:rPr>
        <w:t>崇义章源钨业股份有限公司董事会</w:t>
      </w:r>
    </w:p>
    <w:p w:rsidR="004C0B5A" w:rsidRPr="008C7173" w:rsidRDefault="008C7173" w:rsidP="008C7173">
      <w:pPr>
        <w:spacing w:line="360" w:lineRule="auto"/>
        <w:jc w:val="center"/>
        <w:rPr>
          <w:rFonts w:ascii="Times New Roman" w:hAnsi="Times New Roman" w:cs="Times New Roman"/>
          <w:sz w:val="24"/>
          <w:szCs w:val="24"/>
        </w:rPr>
      </w:pPr>
      <w:r w:rsidRPr="00DA2679">
        <w:rPr>
          <w:rFonts w:ascii="Times New Roman" w:hAnsi="Times New Roman" w:cs="Times New Roman"/>
          <w:sz w:val="24"/>
          <w:szCs w:val="24"/>
        </w:rPr>
        <w:t xml:space="preserve">                                                                                                    2023</w:t>
      </w:r>
      <w:r w:rsidRPr="00DA2679">
        <w:rPr>
          <w:rFonts w:ascii="Times New Roman" w:hAnsi="Times New Roman" w:cs="Times New Roman"/>
          <w:sz w:val="24"/>
          <w:szCs w:val="24"/>
        </w:rPr>
        <w:t>年</w:t>
      </w:r>
      <w:r w:rsidRPr="00DA2679">
        <w:rPr>
          <w:rFonts w:ascii="Times New Roman" w:hAnsi="Times New Roman" w:cs="Times New Roman"/>
          <w:sz w:val="24"/>
          <w:szCs w:val="24"/>
        </w:rPr>
        <w:t>4</w:t>
      </w:r>
      <w:r w:rsidRPr="00DA2679">
        <w:rPr>
          <w:rFonts w:ascii="Times New Roman" w:hAnsi="Times New Roman" w:cs="Times New Roman"/>
          <w:sz w:val="24"/>
          <w:szCs w:val="24"/>
        </w:rPr>
        <w:t>月</w:t>
      </w:r>
      <w:r w:rsidRPr="00DA2679">
        <w:rPr>
          <w:rFonts w:ascii="Times New Roman" w:hAnsi="Times New Roman" w:cs="Times New Roman"/>
          <w:sz w:val="24"/>
          <w:szCs w:val="24"/>
        </w:rPr>
        <w:t>23</w:t>
      </w:r>
      <w:r w:rsidRPr="00DA2679">
        <w:rPr>
          <w:rFonts w:ascii="Times New Roman" w:hAnsi="Times New Roman" w:cs="Times New Roman"/>
          <w:sz w:val="24"/>
          <w:szCs w:val="24"/>
        </w:rPr>
        <w:t>日</w:t>
      </w:r>
    </w:p>
    <w:sectPr w:rsidR="004C0B5A" w:rsidRPr="008C7173" w:rsidSect="00600223">
      <w:headerReference w:type="default" r:id="rId6"/>
      <w:footerReference w:type="default" r:id="rId7"/>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7E1" w:rsidRDefault="006817E1">
      <w:r>
        <w:separator/>
      </w:r>
    </w:p>
  </w:endnote>
  <w:endnote w:type="continuationSeparator" w:id="0">
    <w:p w:rsidR="006817E1" w:rsidRDefault="00681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7" w:rsidRDefault="00B31067">
    <w:pPr>
      <w:pStyle w:val="fotter1"/>
    </w:pPr>
    <w:r>
      <w:fldChar w:fldCharType="begin"/>
    </w:r>
    <w:r>
      <w:instrText>PAGE   \* MERGEFORMAT</w:instrText>
    </w:r>
    <w:r>
      <w:fldChar w:fldCharType="separate"/>
    </w:r>
    <w:r w:rsidR="005C6B81">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7E1" w:rsidRDefault="006817E1">
      <w:r>
        <w:separator/>
      </w:r>
    </w:p>
  </w:footnote>
  <w:footnote w:type="continuationSeparator" w:id="0">
    <w:p w:rsidR="006817E1" w:rsidRDefault="00681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067" w:rsidRDefault="00B31067">
    <w:pPr>
      <w:pStyle w:val="Header1"/>
      <w:pBdr>
        <w:bottom w:val="single" w:sz="6" w:space="1" w:color="auto"/>
      </w:pBdr>
    </w:pPr>
    <w:r>
      <w:t>崇义章源钨业股份有限公司2023年第一季度报告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C0B5A"/>
    <w:rsid w:val="00075F1A"/>
    <w:rsid w:val="00107B55"/>
    <w:rsid w:val="00140FEE"/>
    <w:rsid w:val="00174986"/>
    <w:rsid w:val="001B3460"/>
    <w:rsid w:val="00280009"/>
    <w:rsid w:val="002E40F1"/>
    <w:rsid w:val="003115F1"/>
    <w:rsid w:val="003D7EEF"/>
    <w:rsid w:val="004B6D3B"/>
    <w:rsid w:val="004C0B5A"/>
    <w:rsid w:val="00573F36"/>
    <w:rsid w:val="005A459F"/>
    <w:rsid w:val="005C6B81"/>
    <w:rsid w:val="005F3F64"/>
    <w:rsid w:val="00600223"/>
    <w:rsid w:val="006052C6"/>
    <w:rsid w:val="006415FC"/>
    <w:rsid w:val="0067148F"/>
    <w:rsid w:val="006817E1"/>
    <w:rsid w:val="006A2AFA"/>
    <w:rsid w:val="0070155A"/>
    <w:rsid w:val="00775AC4"/>
    <w:rsid w:val="0079219C"/>
    <w:rsid w:val="007B5595"/>
    <w:rsid w:val="008456DF"/>
    <w:rsid w:val="008B5FEF"/>
    <w:rsid w:val="008C7173"/>
    <w:rsid w:val="00932C55"/>
    <w:rsid w:val="009A3D72"/>
    <w:rsid w:val="00A35B35"/>
    <w:rsid w:val="00A51684"/>
    <w:rsid w:val="00A958AF"/>
    <w:rsid w:val="00AE2ABB"/>
    <w:rsid w:val="00B14ED2"/>
    <w:rsid w:val="00B31067"/>
    <w:rsid w:val="00B60BB6"/>
    <w:rsid w:val="00C06A88"/>
    <w:rsid w:val="00C2248C"/>
    <w:rsid w:val="00CB2043"/>
    <w:rsid w:val="00D25567"/>
    <w:rsid w:val="00D47CA5"/>
    <w:rsid w:val="00D9631E"/>
    <w:rsid w:val="00DA2679"/>
    <w:rsid w:val="00DF57D4"/>
    <w:rsid w:val="00E462C7"/>
    <w:rsid w:val="00E728ED"/>
    <w:rsid w:val="00F250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B1C254-A4CB-4995-BEC5-A86F9E010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223"/>
    <w:pPr>
      <w:widowControl w:val="0"/>
    </w:pPr>
  </w:style>
  <w:style w:type="paragraph" w:styleId="2">
    <w:name w:val="heading 2"/>
    <w:basedOn w:val="a"/>
    <w:next w:val="a"/>
    <w:uiPriority w:val="9"/>
    <w:unhideWhenUsed/>
    <w:qFormat/>
    <w:rsid w:val="00600223"/>
    <w:pPr>
      <w:keepNext/>
      <w:keepLines/>
      <w:spacing w:before="156" w:after="156"/>
      <w:outlineLvl w:val="1"/>
    </w:pPr>
    <w:rPr>
      <w:szCs w:val="21"/>
    </w:rPr>
  </w:style>
  <w:style w:type="paragraph" w:styleId="3">
    <w:name w:val="heading 3"/>
    <w:basedOn w:val="a"/>
    <w:next w:val="a"/>
    <w:uiPriority w:val="99"/>
    <w:qFormat/>
    <w:rsid w:val="00B74129"/>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rsid w:val="00600223"/>
    <w:pPr>
      <w:jc w:val="right"/>
    </w:pPr>
    <w:rPr>
      <w:rFonts w:ascii="宋体" w:eastAsia="宋体"/>
      <w:sz w:val="18"/>
      <w:szCs w:val="18"/>
    </w:rPr>
  </w:style>
  <w:style w:type="paragraph" w:customStyle="1" w:styleId="headingh1">
    <w:name w:val="heading h1"/>
    <w:basedOn w:val="a"/>
    <w:next w:val="a"/>
    <w:uiPriority w:val="9"/>
    <w:qFormat/>
    <w:rsid w:val="00600223"/>
    <w:pPr>
      <w:keepNext/>
      <w:keepLines/>
      <w:spacing w:before="240" w:after="240" w:line="578" w:lineRule="auto"/>
      <w:outlineLvl w:val="0"/>
    </w:pPr>
    <w:rPr>
      <w:kern w:val="44"/>
      <w:sz w:val="44"/>
      <w:szCs w:val="44"/>
    </w:rPr>
  </w:style>
  <w:style w:type="paragraph" w:customStyle="1" w:styleId="fotter1">
    <w:name w:val="fotter 1"/>
    <w:rsid w:val="00600223"/>
    <w:pPr>
      <w:jc w:val="right"/>
    </w:pPr>
    <w:rPr>
      <w:rFonts w:ascii="宋体" w:eastAsia="宋体"/>
      <w:sz w:val="18"/>
      <w:szCs w:val="18"/>
    </w:rPr>
  </w:style>
  <w:style w:type="paragraph" w:styleId="1">
    <w:name w:val="toc 1"/>
    <w:basedOn w:val="a"/>
    <w:next w:val="a"/>
    <w:autoRedefine/>
    <w:uiPriority w:val="39"/>
    <w:rsid w:val="00600223"/>
  </w:style>
  <w:style w:type="paragraph" w:styleId="20">
    <w:name w:val="toc 2"/>
    <w:basedOn w:val="a"/>
    <w:next w:val="a"/>
    <w:autoRedefine/>
    <w:uiPriority w:val="39"/>
    <w:unhideWhenUsed/>
    <w:rsid w:val="00600223"/>
    <w:pPr>
      <w:ind w:leftChars="200" w:left="420"/>
    </w:pPr>
  </w:style>
  <w:style w:type="paragraph" w:styleId="a3">
    <w:name w:val="Normal (Web)"/>
    <w:basedOn w:val="a"/>
    <w:uiPriority w:val="99"/>
    <w:unhideWhenUsed/>
    <w:rsid w:val="00600223"/>
    <w:pPr>
      <w:widowControl/>
      <w:spacing w:before="100" w:beforeAutospacing="1" w:after="100" w:afterAutospacing="1"/>
    </w:pPr>
    <w:rPr>
      <w:rFonts w:ascii="宋体" w:eastAsia="宋体" w:hAnsi="宋体" w:cs="宋体"/>
      <w:kern w:val="0"/>
      <w:sz w:val="24"/>
      <w:szCs w:val="24"/>
    </w:rPr>
  </w:style>
  <w:style w:type="character" w:styleId="a4">
    <w:name w:val="Strong"/>
    <w:basedOn w:val="a0"/>
    <w:uiPriority w:val="22"/>
    <w:qFormat/>
    <w:rsid w:val="00600223"/>
    <w:rPr>
      <w:b/>
      <w:bCs/>
    </w:rPr>
  </w:style>
  <w:style w:type="paragraph" w:styleId="a5">
    <w:name w:val="header"/>
    <w:basedOn w:val="a"/>
    <w:link w:val="Char"/>
    <w:uiPriority w:val="99"/>
    <w:unhideWhenUsed/>
    <w:rsid w:val="001749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174986"/>
    <w:rPr>
      <w:sz w:val="18"/>
      <w:szCs w:val="18"/>
    </w:rPr>
  </w:style>
  <w:style w:type="paragraph" w:styleId="a6">
    <w:name w:val="footer"/>
    <w:basedOn w:val="a"/>
    <w:link w:val="Char0"/>
    <w:uiPriority w:val="99"/>
    <w:unhideWhenUsed/>
    <w:rsid w:val="00174986"/>
    <w:pPr>
      <w:tabs>
        <w:tab w:val="center" w:pos="4153"/>
        <w:tab w:val="right" w:pos="8306"/>
      </w:tabs>
      <w:snapToGrid w:val="0"/>
    </w:pPr>
    <w:rPr>
      <w:sz w:val="18"/>
      <w:szCs w:val="18"/>
    </w:rPr>
  </w:style>
  <w:style w:type="character" w:customStyle="1" w:styleId="Char0">
    <w:name w:val="页脚 Char"/>
    <w:basedOn w:val="a0"/>
    <w:link w:val="a6"/>
    <w:uiPriority w:val="99"/>
    <w:rsid w:val="00174986"/>
    <w:rPr>
      <w:sz w:val="18"/>
      <w:szCs w:val="18"/>
    </w:rPr>
  </w:style>
  <w:style w:type="paragraph" w:styleId="a7">
    <w:name w:val="Balloon Text"/>
    <w:basedOn w:val="a"/>
    <w:link w:val="Char1"/>
    <w:uiPriority w:val="99"/>
    <w:semiHidden/>
    <w:unhideWhenUsed/>
    <w:rsid w:val="005A459F"/>
    <w:rPr>
      <w:sz w:val="18"/>
      <w:szCs w:val="18"/>
    </w:rPr>
  </w:style>
  <w:style w:type="character" w:customStyle="1" w:styleId="Char1">
    <w:name w:val="批注框文本 Char"/>
    <w:basedOn w:val="a0"/>
    <w:link w:val="a7"/>
    <w:uiPriority w:val="99"/>
    <w:semiHidden/>
    <w:rsid w:val="005A459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48600">
      <w:bodyDiv w:val="1"/>
      <w:marLeft w:val="0"/>
      <w:marRight w:val="0"/>
      <w:marTop w:val="0"/>
      <w:marBottom w:val="0"/>
      <w:divBdr>
        <w:top w:val="none" w:sz="0" w:space="0" w:color="auto"/>
        <w:left w:val="none" w:sz="0" w:space="0" w:color="auto"/>
        <w:bottom w:val="none" w:sz="0" w:space="0" w:color="auto"/>
        <w:right w:val="none" w:sz="0" w:space="0" w:color="auto"/>
      </w:divBdr>
    </w:div>
    <w:div w:id="622618836">
      <w:bodyDiv w:val="1"/>
      <w:marLeft w:val="0"/>
      <w:marRight w:val="0"/>
      <w:marTop w:val="0"/>
      <w:marBottom w:val="0"/>
      <w:divBdr>
        <w:top w:val="none" w:sz="0" w:space="0" w:color="auto"/>
        <w:left w:val="none" w:sz="0" w:space="0" w:color="auto"/>
        <w:bottom w:val="none" w:sz="0" w:space="0" w:color="auto"/>
        <w:right w:val="none" w:sz="0" w:space="0" w:color="auto"/>
      </w:divBdr>
    </w:div>
    <w:div w:id="717389119">
      <w:bodyDiv w:val="1"/>
      <w:marLeft w:val="0"/>
      <w:marRight w:val="0"/>
      <w:marTop w:val="0"/>
      <w:marBottom w:val="0"/>
      <w:divBdr>
        <w:top w:val="none" w:sz="0" w:space="0" w:color="auto"/>
        <w:left w:val="none" w:sz="0" w:space="0" w:color="auto"/>
        <w:bottom w:val="none" w:sz="0" w:space="0" w:color="auto"/>
        <w:right w:val="none" w:sz="0" w:space="0" w:color="auto"/>
      </w:divBdr>
    </w:div>
    <w:div w:id="963535864">
      <w:bodyDiv w:val="1"/>
      <w:marLeft w:val="0"/>
      <w:marRight w:val="0"/>
      <w:marTop w:val="0"/>
      <w:marBottom w:val="0"/>
      <w:divBdr>
        <w:top w:val="none" w:sz="0" w:space="0" w:color="auto"/>
        <w:left w:val="none" w:sz="0" w:space="0" w:color="auto"/>
        <w:bottom w:val="none" w:sz="0" w:space="0" w:color="auto"/>
        <w:right w:val="none" w:sz="0" w:space="0" w:color="auto"/>
      </w:divBdr>
    </w:div>
    <w:div w:id="1741829860">
      <w:bodyDiv w:val="1"/>
      <w:marLeft w:val="0"/>
      <w:marRight w:val="0"/>
      <w:marTop w:val="0"/>
      <w:marBottom w:val="0"/>
      <w:divBdr>
        <w:top w:val="none" w:sz="0" w:space="0" w:color="auto"/>
        <w:left w:val="none" w:sz="0" w:space="0" w:color="auto"/>
        <w:bottom w:val="none" w:sz="0" w:space="0" w:color="auto"/>
        <w:right w:val="none" w:sz="0" w:space="0" w:color="auto"/>
      </w:divBdr>
    </w:div>
    <w:div w:id="1779138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14</Pages>
  <Words>1940</Words>
  <Characters>11063</Characters>
  <Application>Microsoft Office Word</Application>
  <DocSecurity>0</DocSecurity>
  <Lines>92</Lines>
  <Paragraphs>25</Paragraphs>
  <ScaleCrop>false</ScaleCrop>
  <Company/>
  <LinksUpToDate>false</LinksUpToDate>
  <CharactersWithSpaces>12978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刘敏</dc:creator>
  <cp:lastModifiedBy>刘敏</cp:lastModifiedBy>
  <cp:revision>23</cp:revision>
  <cp:lastPrinted>2023-04-19T07:52:00Z</cp:lastPrinted>
  <dcterms:created xsi:type="dcterms:W3CDTF">2023-04-18T08:17:00Z</dcterms:created>
  <dcterms:modified xsi:type="dcterms:W3CDTF">2023-04-24T08:03:00Z</dcterms:modified>
</cp:coreProperties>
</file>